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6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57150</wp:posOffset>
            </wp:positionH>
            <wp:positionV relativeFrom="page">
              <wp:posOffset>57150</wp:posOffset>
            </wp:positionV>
            <wp:extent cx="7658100" cy="9944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t>2025 Annual Report</w:t>
      </w:r>
    </w:p>
    <w:p>
      <w:pPr>
        <w:sectPr>
          <w:pgSz w:w="12240" w:h="15840" w:orient="portrait"/>
          <w:cols w:equalWidth="0" w:num="1">
            <w:col w:w="10020"/>
          </w:cols>
          <w:pgMar w:left="1440" w:top="570" w:right="780" w:bottom="1440" w:gutter="0" w:footer="0" w:header="0"/>
        </w:sectPr>
      </w:pPr>
    </w:p>
    <w:bookmarkStart w:id="1" w:name="page2"/>
    <w:bookmarkEnd w:id="1"/>
    <w:p>
      <w:pPr>
        <w:ind w:left="10"/>
        <w:spacing w:after="0"/>
        <w:rPr>
          <w:sz w:val="20"/>
          <w:szCs w:val="20"/>
          <w:color w:val="auto"/>
        </w:rPr>
      </w:pPr>
      <w:r>
        <w:rPr>
          <w:rFonts w:ascii="Arial" w:cs="Arial" w:eastAsia="Arial" w:hAnsi="Arial"/>
          <w:sz w:val="28"/>
          <w:szCs w:val="28"/>
          <w:b w:val="1"/>
          <w:bCs w:val="1"/>
          <w:color w:val="FFFFFF"/>
        </w:rPr>
        <w:drawing>
          <wp:anchor simplePos="0" relativeHeight="251657728" behindDoc="1" locked="0" layoutInCell="0" allowOverlap="1">
            <wp:simplePos x="0" y="0"/>
            <wp:positionH relativeFrom="page">
              <wp:posOffset>44450</wp:posOffset>
            </wp:positionH>
            <wp:positionV relativeFrom="page">
              <wp:posOffset>44450</wp:posOffset>
            </wp:positionV>
            <wp:extent cx="7683500" cy="9969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83500" cy="9969500"/>
                    </a:xfrm>
                    <a:prstGeom prst="rect">
                      <a:avLst/>
                    </a:prstGeom>
                    <a:noFill/>
                  </pic:spPr>
                </pic:pic>
              </a:graphicData>
            </a:graphic>
          </wp:anchor>
        </w:drawing>
        <w:t>Financial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Arial" w:cs="Arial" w:eastAsia="Arial" w:hAnsi="Arial"/>
                <w:sz w:val="14"/>
                <w:szCs w:val="14"/>
                <w:color w:val="FFFFFF"/>
              </w:rPr>
              <w:t>In thousands, except per share amounts</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4"/>
                <w:szCs w:val="14"/>
                <w:color w:val="FFFFFF"/>
              </w:rPr>
              <w:t>As of or for the year ending December 31,</w:t>
            </w:r>
          </w:p>
        </w:tc>
        <w:tc>
          <w:tcPr>
            <w:tcW w:w="48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FFFFFF"/>
              </w:rPr>
              <w:t>2025</w:t>
            </w:r>
          </w:p>
        </w:tc>
        <w:tc>
          <w:tcPr>
            <w:tcW w:w="320" w:type="dxa"/>
            <w:vAlign w:val="bottom"/>
          </w:tcPr>
          <w:p>
            <w:pPr>
              <w:spacing w:after="0"/>
              <w:rPr>
                <w:sz w:val="20"/>
                <w:szCs w:val="20"/>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FFFFFF"/>
              </w:rPr>
              <w:t>2024</w:t>
            </w:r>
          </w:p>
        </w:tc>
        <w:tc>
          <w:tcPr>
            <w:tcW w:w="320" w:type="dxa"/>
            <w:vAlign w:val="bottom"/>
          </w:tcPr>
          <w:p>
            <w:pPr>
              <w:spacing w:after="0"/>
              <w:rPr>
                <w:sz w:val="20"/>
                <w:szCs w:val="20"/>
                <w:color w:val="auto"/>
              </w:rPr>
            </w:pPr>
          </w:p>
        </w:tc>
        <w:tc>
          <w:tcPr>
            <w:tcW w:w="1040" w:type="dxa"/>
            <w:vAlign w:val="bottom"/>
          </w:tcPr>
          <w:p>
            <w:pPr>
              <w:jc w:val="right"/>
              <w:ind w:right="235"/>
              <w:spacing w:after="0"/>
              <w:rPr>
                <w:sz w:val="20"/>
                <w:szCs w:val="20"/>
                <w:color w:val="auto"/>
              </w:rPr>
            </w:pPr>
            <w:r>
              <w:rPr>
                <w:rFonts w:ascii="Arial" w:cs="Arial" w:eastAsia="Arial" w:hAnsi="Arial"/>
                <w:sz w:val="17"/>
                <w:szCs w:val="17"/>
                <w:color w:val="FFFFFF"/>
              </w:rPr>
              <w:t>2023</w:t>
            </w:r>
          </w:p>
        </w:tc>
        <w:tc>
          <w:tcPr>
            <w:tcW w:w="400" w:type="dxa"/>
            <w:vAlign w:val="bottom"/>
          </w:tcPr>
          <w:p>
            <w:pPr>
              <w:spacing w:after="0"/>
              <w:rPr>
                <w:sz w:val="20"/>
                <w:szCs w:val="20"/>
                <w:color w:val="auto"/>
              </w:rPr>
            </w:pPr>
          </w:p>
        </w:tc>
        <w:tc>
          <w:tcPr>
            <w:tcW w:w="1040" w:type="dxa"/>
            <w:vAlign w:val="bottom"/>
          </w:tcPr>
          <w:p>
            <w:pPr>
              <w:jc w:val="right"/>
              <w:ind w:right="235"/>
              <w:spacing w:after="0"/>
              <w:rPr>
                <w:sz w:val="20"/>
                <w:szCs w:val="20"/>
                <w:color w:val="auto"/>
              </w:rPr>
            </w:pPr>
            <w:r>
              <w:rPr>
                <w:rFonts w:ascii="Arial" w:cs="Arial" w:eastAsia="Arial" w:hAnsi="Arial"/>
                <w:sz w:val="17"/>
                <w:szCs w:val="17"/>
                <w:color w:val="FFFFFF"/>
              </w:rPr>
              <w:t>2022</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FFFFFF"/>
              </w:rPr>
              <w:t>2021</w:t>
            </w:r>
          </w:p>
        </w:tc>
      </w:tr>
      <w:tr>
        <w:trPr>
          <w:trHeight w:val="455"/>
        </w:trPr>
        <w:tc>
          <w:tcPr>
            <w:tcW w:w="3320" w:type="dxa"/>
            <w:vAlign w:val="bottom"/>
          </w:tcPr>
          <w:p>
            <w:pPr>
              <w:spacing w:after="0"/>
              <w:rPr>
                <w:sz w:val="20"/>
                <w:szCs w:val="20"/>
                <w:color w:val="auto"/>
              </w:rPr>
            </w:pPr>
            <w:r>
              <w:rPr>
                <w:rFonts w:ascii="Arial" w:cs="Arial" w:eastAsia="Arial" w:hAnsi="Arial"/>
                <w:sz w:val="17"/>
                <w:szCs w:val="17"/>
                <w:b w:val="1"/>
                <w:bCs w:val="1"/>
                <w:color w:val="FFFFFF"/>
              </w:rPr>
              <w:t>Revenues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8"/>
        </w:trPr>
        <w:tc>
          <w:tcPr>
            <w:tcW w:w="3320" w:type="dxa"/>
            <w:vAlign w:val="bottom"/>
          </w:tcPr>
          <w:p>
            <w:pPr>
              <w:ind w:left="180"/>
              <w:spacing w:after="0"/>
              <w:rPr>
                <w:sz w:val="20"/>
                <w:szCs w:val="20"/>
                <w:color w:val="auto"/>
              </w:rPr>
            </w:pPr>
            <w:r>
              <w:rPr>
                <w:rFonts w:ascii="Arial" w:cs="Arial" w:eastAsia="Arial" w:hAnsi="Arial"/>
                <w:sz w:val="17"/>
                <w:szCs w:val="17"/>
                <w:color w:val="FFFFFF"/>
              </w:rPr>
              <w:t>Marine transportation</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w w:val="95"/>
              </w:rPr>
              <w:t>1,935,305</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w w:val="92"/>
              </w:rPr>
              <w:t>1,913,050</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1,721,937</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1,616,967</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w w:val="97"/>
              </w:rPr>
              <w:t>1,322,918</w:t>
            </w:r>
          </w:p>
        </w:tc>
      </w:tr>
      <w:tr>
        <w:trPr>
          <w:trHeight w:val="306"/>
        </w:trPr>
        <w:tc>
          <w:tcPr>
            <w:tcW w:w="3320" w:type="dxa"/>
            <w:vAlign w:val="bottom"/>
          </w:tcPr>
          <w:p>
            <w:pPr>
              <w:ind w:left="180"/>
              <w:spacing w:after="0"/>
              <w:rPr>
                <w:sz w:val="20"/>
                <w:szCs w:val="20"/>
                <w:color w:val="auto"/>
              </w:rPr>
            </w:pPr>
            <w:r>
              <w:rPr>
                <w:rFonts w:ascii="Arial" w:cs="Arial" w:eastAsia="Arial" w:hAnsi="Arial"/>
                <w:sz w:val="17"/>
                <w:szCs w:val="17"/>
                <w:color w:val="FFFFFF"/>
              </w:rPr>
              <w:t>Distribution and services</w:t>
            </w:r>
          </w:p>
        </w:tc>
        <w:tc>
          <w:tcPr>
            <w:tcW w:w="480" w:type="dxa"/>
            <w:vAlign w:val="bottom"/>
          </w:tcPr>
          <w:p>
            <w:pPr>
              <w:spacing w:after="0"/>
              <w:rPr>
                <w:sz w:val="24"/>
                <w:szCs w:val="24"/>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w w:val="95"/>
              </w:rPr>
              <w:t>1,428,745</w:t>
            </w:r>
          </w:p>
        </w:tc>
        <w:tc>
          <w:tcPr>
            <w:tcW w:w="3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w w:val="92"/>
              </w:rPr>
              <w:t>1,352,826</w:t>
            </w:r>
          </w:p>
        </w:tc>
        <w:tc>
          <w:tcPr>
            <w:tcW w:w="3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1,369,703</w:t>
            </w:r>
          </w:p>
        </w:tc>
        <w:tc>
          <w:tcPr>
            <w:tcW w:w="40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1,617,787</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FFFFFF"/>
              </w:rPr>
              <w:t>923,742</w:t>
            </w:r>
          </w:p>
        </w:tc>
      </w:tr>
      <w:tr>
        <w:trPr>
          <w:trHeight w:val="306"/>
        </w:trPr>
        <w:tc>
          <w:tcPr>
            <w:tcW w:w="3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w w:val="95"/>
              </w:rPr>
              <w:t>3,364,050</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w w:val="92"/>
              </w:rPr>
              <w:t>3,265,876</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3,091,640</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2,784,754</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w w:val="95"/>
              </w:rPr>
              <w:t>2,246,660</w:t>
            </w:r>
          </w:p>
        </w:tc>
      </w:tr>
      <w:tr>
        <w:trPr>
          <w:trHeight w:val="364"/>
        </w:trPr>
        <w:tc>
          <w:tcPr>
            <w:tcW w:w="3320" w:type="dxa"/>
            <w:vAlign w:val="bottom"/>
          </w:tcPr>
          <w:p>
            <w:pPr>
              <w:spacing w:after="0"/>
              <w:rPr>
                <w:sz w:val="20"/>
                <w:szCs w:val="20"/>
                <w:color w:val="auto"/>
              </w:rPr>
            </w:pPr>
            <w:r>
              <w:rPr>
                <w:rFonts w:ascii="Arial" w:cs="Arial" w:eastAsia="Arial" w:hAnsi="Arial"/>
                <w:sz w:val="17"/>
                <w:szCs w:val="17"/>
                <w:color w:val="FFFFFF"/>
              </w:rPr>
              <w:t>Net earnings (loss) attributable to Kirby</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354,569</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286,707</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222,935</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122,291</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rPr>
              <w:t>(246,954)</w:t>
            </w:r>
          </w:p>
        </w:tc>
      </w:tr>
      <w:tr>
        <w:trPr>
          <w:trHeight w:val="389"/>
        </w:trPr>
        <w:tc>
          <w:tcPr>
            <w:tcW w:w="3320" w:type="dxa"/>
            <w:vAlign w:val="bottom"/>
          </w:tcPr>
          <w:p>
            <w:pPr>
              <w:spacing w:after="0"/>
              <w:rPr>
                <w:sz w:val="20"/>
                <w:szCs w:val="20"/>
                <w:color w:val="auto"/>
              </w:rPr>
            </w:pPr>
            <w:r>
              <w:rPr>
                <w:rFonts w:ascii="Arial" w:cs="Arial" w:eastAsia="Arial" w:hAnsi="Arial"/>
                <w:sz w:val="17"/>
                <w:szCs w:val="17"/>
                <w:color w:val="FFFFFF"/>
              </w:rPr>
              <w:t>Net earnings attributable to Kirby,</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354,569</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318,751</w:t>
            </w:r>
            <w:r>
              <w:rPr>
                <w:rFonts w:ascii="Arial" w:cs="Arial" w:eastAsia="Arial" w:hAnsi="Arial"/>
                <w:sz w:val="19"/>
                <w:szCs w:val="19"/>
                <w:color w:val="FFFFFF"/>
                <w:vertAlign w:val="superscript"/>
              </w:rPr>
              <w:t>1</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223,116</w:t>
            </w:r>
            <w:r>
              <w:rPr>
                <w:rFonts w:ascii="Arial" w:cs="Arial" w:eastAsia="Arial" w:hAnsi="Arial"/>
                <w:sz w:val="19"/>
                <w:szCs w:val="19"/>
                <w:color w:val="FFFFFF"/>
                <w:vertAlign w:val="superscript"/>
              </w:rPr>
              <w:t>2</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126,652</w:t>
            </w:r>
            <w:r>
              <w:rPr>
                <w:rFonts w:ascii="Arial" w:cs="Arial" w:eastAsia="Arial" w:hAnsi="Arial"/>
                <w:sz w:val="19"/>
                <w:szCs w:val="19"/>
                <w:color w:val="FFFFFF"/>
                <w:vertAlign w:val="superscript"/>
              </w:rPr>
              <w:t>3</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rPr>
              <w:t>33,770</w:t>
            </w:r>
            <w:r>
              <w:rPr>
                <w:rFonts w:ascii="Arial" w:cs="Arial" w:eastAsia="Arial" w:hAnsi="Arial"/>
                <w:sz w:val="19"/>
                <w:szCs w:val="19"/>
                <w:color w:val="FFFFFF"/>
                <w:vertAlign w:val="superscript"/>
              </w:rPr>
              <w:t>4</w:t>
            </w:r>
          </w:p>
        </w:tc>
      </w:tr>
      <w:tr>
        <w:trPr>
          <w:trHeight w:val="193"/>
        </w:trPr>
        <w:tc>
          <w:tcPr>
            <w:tcW w:w="3320" w:type="dxa"/>
            <w:vAlign w:val="bottom"/>
          </w:tcPr>
          <w:p>
            <w:pPr>
              <w:spacing w:after="0" w:line="194" w:lineRule="exact"/>
              <w:rPr>
                <w:sz w:val="20"/>
                <w:szCs w:val="20"/>
                <w:color w:val="auto"/>
              </w:rPr>
            </w:pPr>
            <w:r>
              <w:rPr>
                <w:rFonts w:ascii="Arial" w:cs="Arial" w:eastAsia="Arial" w:hAnsi="Arial"/>
                <w:sz w:val="17"/>
                <w:szCs w:val="17"/>
                <w:color w:val="FFFFFF"/>
              </w:rPr>
              <w:t>excluding one-time items*</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08"/>
        </w:trPr>
        <w:tc>
          <w:tcPr>
            <w:tcW w:w="3320" w:type="dxa"/>
            <w:vAlign w:val="bottom"/>
          </w:tcPr>
          <w:p>
            <w:pPr>
              <w:spacing w:after="0"/>
              <w:rPr>
                <w:sz w:val="20"/>
                <w:szCs w:val="20"/>
                <w:color w:val="auto"/>
              </w:rPr>
            </w:pPr>
            <w:r>
              <w:rPr>
                <w:rFonts w:ascii="Arial" w:cs="Arial" w:eastAsia="Arial" w:hAnsi="Arial"/>
                <w:sz w:val="17"/>
                <w:szCs w:val="17"/>
                <w:color w:val="FFFFFF"/>
              </w:rPr>
              <w:t>Net earnings (loss) per share attributable</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6.33</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4.91</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3.72</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2.03</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rPr>
              <w:t>(4.11)</w:t>
            </w:r>
          </w:p>
        </w:tc>
      </w:tr>
      <w:tr>
        <w:trPr>
          <w:trHeight w:val="218"/>
        </w:trPr>
        <w:tc>
          <w:tcPr>
            <w:tcW w:w="3320" w:type="dxa"/>
            <w:vAlign w:val="bottom"/>
          </w:tcPr>
          <w:p>
            <w:pPr>
              <w:spacing w:after="0"/>
              <w:rPr>
                <w:sz w:val="20"/>
                <w:szCs w:val="20"/>
                <w:color w:val="auto"/>
              </w:rPr>
            </w:pPr>
            <w:r>
              <w:rPr>
                <w:rFonts w:ascii="Arial" w:cs="Arial" w:eastAsia="Arial" w:hAnsi="Arial"/>
                <w:sz w:val="17"/>
                <w:szCs w:val="17"/>
                <w:color w:val="FFFFFF"/>
              </w:rPr>
              <w:t>to Kirby (diluted)</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3"/>
        </w:trPr>
        <w:tc>
          <w:tcPr>
            <w:tcW w:w="3320" w:type="dxa"/>
            <w:vAlign w:val="bottom"/>
          </w:tcPr>
          <w:p>
            <w:pPr>
              <w:spacing w:after="0"/>
              <w:rPr>
                <w:sz w:val="20"/>
                <w:szCs w:val="20"/>
                <w:color w:val="auto"/>
              </w:rPr>
            </w:pPr>
            <w:r>
              <w:rPr>
                <w:rFonts w:ascii="Arial" w:cs="Arial" w:eastAsia="Arial" w:hAnsi="Arial"/>
                <w:sz w:val="17"/>
                <w:szCs w:val="17"/>
                <w:color w:val="FFFFFF"/>
              </w:rPr>
              <w:t>Net earnings per share attributable to Kirby,</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6.33</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5.46</w:t>
            </w:r>
            <w:r>
              <w:rPr>
                <w:rFonts w:ascii="Arial" w:cs="Arial" w:eastAsia="Arial" w:hAnsi="Arial"/>
                <w:sz w:val="19"/>
                <w:szCs w:val="19"/>
                <w:color w:val="FFFFFF"/>
                <w:vertAlign w:val="superscript"/>
              </w:rPr>
              <w:t>1</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3.72</w:t>
            </w:r>
            <w:r>
              <w:rPr>
                <w:rFonts w:ascii="Arial" w:cs="Arial" w:eastAsia="Arial" w:hAnsi="Arial"/>
                <w:sz w:val="19"/>
                <w:szCs w:val="19"/>
                <w:color w:val="FFFFFF"/>
                <w:vertAlign w:val="superscript"/>
              </w:rPr>
              <w:t>2</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2.10</w:t>
            </w:r>
            <w:r>
              <w:rPr>
                <w:rFonts w:ascii="Arial" w:cs="Arial" w:eastAsia="Arial" w:hAnsi="Arial"/>
                <w:sz w:val="19"/>
                <w:szCs w:val="19"/>
                <w:color w:val="FFFFFF"/>
                <w:vertAlign w:val="superscript"/>
              </w:rPr>
              <w:t>3</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rPr>
              <w:t>0.56</w:t>
            </w:r>
            <w:r>
              <w:rPr>
                <w:rFonts w:ascii="Arial" w:cs="Arial" w:eastAsia="Arial" w:hAnsi="Arial"/>
                <w:sz w:val="19"/>
                <w:szCs w:val="19"/>
                <w:color w:val="FFFFFF"/>
                <w:vertAlign w:val="superscript"/>
              </w:rPr>
              <w:t>4</w:t>
            </w:r>
          </w:p>
        </w:tc>
      </w:tr>
      <w:tr>
        <w:trPr>
          <w:trHeight w:val="193"/>
        </w:trPr>
        <w:tc>
          <w:tcPr>
            <w:tcW w:w="3320" w:type="dxa"/>
            <w:vAlign w:val="bottom"/>
          </w:tcPr>
          <w:p>
            <w:pPr>
              <w:spacing w:after="0" w:line="194" w:lineRule="exact"/>
              <w:rPr>
                <w:sz w:val="20"/>
                <w:szCs w:val="20"/>
                <w:color w:val="auto"/>
              </w:rPr>
            </w:pPr>
            <w:r>
              <w:rPr>
                <w:rFonts w:ascii="Arial" w:cs="Arial" w:eastAsia="Arial" w:hAnsi="Arial"/>
                <w:sz w:val="17"/>
                <w:szCs w:val="17"/>
                <w:color w:val="FFFFFF"/>
              </w:rPr>
              <w:t>excluding one-time items* (diluted)</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613"/>
        </w:trPr>
        <w:tc>
          <w:tcPr>
            <w:tcW w:w="3320" w:type="dxa"/>
            <w:vAlign w:val="bottom"/>
          </w:tcPr>
          <w:p>
            <w:pPr>
              <w:spacing w:after="0"/>
              <w:rPr>
                <w:sz w:val="20"/>
                <w:szCs w:val="20"/>
                <w:color w:val="auto"/>
              </w:rPr>
            </w:pPr>
            <w:r>
              <w:rPr>
                <w:rFonts w:ascii="Arial" w:cs="Arial" w:eastAsia="Arial" w:hAnsi="Arial"/>
                <w:sz w:val="17"/>
                <w:szCs w:val="17"/>
                <w:b w:val="1"/>
                <w:bCs w:val="1"/>
                <w:color w:val="FFFFFF"/>
              </w:rPr>
              <w:t>Adjusted EBITDA</w:t>
            </w:r>
            <w:r>
              <w:rPr>
                <w:rFonts w:ascii="Arial" w:cs="Arial" w:eastAsia="Arial" w:hAnsi="Arial"/>
                <w:sz w:val="17"/>
                <w:szCs w:val="17"/>
                <w:color w:val="FFFFFF"/>
              </w:rPr>
              <w:t>**</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8"/>
        </w:trPr>
        <w:tc>
          <w:tcPr>
            <w:tcW w:w="3320" w:type="dxa"/>
            <w:vAlign w:val="bottom"/>
          </w:tcPr>
          <w:p>
            <w:pPr>
              <w:ind w:left="180"/>
              <w:spacing w:after="0"/>
              <w:rPr>
                <w:sz w:val="20"/>
                <w:szCs w:val="20"/>
                <w:color w:val="auto"/>
              </w:rPr>
            </w:pPr>
            <w:r>
              <w:rPr>
                <w:rFonts w:ascii="Arial" w:cs="Arial" w:eastAsia="Arial" w:hAnsi="Arial"/>
                <w:sz w:val="17"/>
                <w:szCs w:val="17"/>
                <w:color w:val="FFFFFF"/>
              </w:rPr>
              <w:t>Net earnings (loss) attributable to Kirby</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354,569</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286,707</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222,935</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122,291</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rPr>
              <w:t>(246,954)</w:t>
            </w:r>
          </w:p>
        </w:tc>
      </w:tr>
      <w:tr>
        <w:trPr>
          <w:trHeight w:val="306"/>
        </w:trPr>
        <w:tc>
          <w:tcPr>
            <w:tcW w:w="3320" w:type="dxa"/>
            <w:vAlign w:val="bottom"/>
          </w:tcPr>
          <w:p>
            <w:pPr>
              <w:ind w:left="180"/>
              <w:spacing w:after="0"/>
              <w:rPr>
                <w:sz w:val="20"/>
                <w:szCs w:val="20"/>
                <w:color w:val="auto"/>
              </w:rPr>
            </w:pPr>
            <w:r>
              <w:rPr>
                <w:rFonts w:ascii="Arial" w:cs="Arial" w:eastAsia="Arial" w:hAnsi="Arial"/>
                <w:sz w:val="17"/>
                <w:szCs w:val="17"/>
                <w:color w:val="FFFFFF"/>
              </w:rPr>
              <w:t>Interest expense</w:t>
            </w:r>
          </w:p>
        </w:tc>
        <w:tc>
          <w:tcPr>
            <w:tcW w:w="480" w:type="dxa"/>
            <w:vAlign w:val="bottom"/>
          </w:tcPr>
          <w:p>
            <w:pPr>
              <w:spacing w:after="0"/>
              <w:rPr>
                <w:sz w:val="24"/>
                <w:szCs w:val="24"/>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46,327</w:t>
            </w:r>
          </w:p>
        </w:tc>
        <w:tc>
          <w:tcPr>
            <w:tcW w:w="3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49,129</w:t>
            </w:r>
          </w:p>
        </w:tc>
        <w:tc>
          <w:tcPr>
            <w:tcW w:w="3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52,008</w:t>
            </w:r>
          </w:p>
        </w:tc>
        <w:tc>
          <w:tcPr>
            <w:tcW w:w="40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44,588</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FFFFFF"/>
              </w:rPr>
              <w:t>42,469</w:t>
            </w:r>
          </w:p>
        </w:tc>
      </w:tr>
      <w:tr>
        <w:trPr>
          <w:trHeight w:val="306"/>
        </w:trPr>
        <w:tc>
          <w:tcPr>
            <w:tcW w:w="3320" w:type="dxa"/>
            <w:vAlign w:val="bottom"/>
          </w:tcPr>
          <w:p>
            <w:pPr>
              <w:ind w:left="180"/>
              <w:spacing w:after="0"/>
              <w:rPr>
                <w:sz w:val="20"/>
                <w:szCs w:val="20"/>
                <w:color w:val="auto"/>
              </w:rPr>
            </w:pPr>
            <w:r>
              <w:rPr>
                <w:rFonts w:ascii="Arial" w:cs="Arial" w:eastAsia="Arial" w:hAnsi="Arial"/>
                <w:sz w:val="17"/>
                <w:szCs w:val="17"/>
                <w:color w:val="FFFFFF"/>
              </w:rPr>
              <w:t>Provision (benefit) for taxes on income</w:t>
            </w:r>
          </w:p>
        </w:tc>
        <w:tc>
          <w:tcPr>
            <w:tcW w:w="480" w:type="dxa"/>
            <w:vAlign w:val="bottom"/>
          </w:tcPr>
          <w:p>
            <w:pPr>
              <w:spacing w:after="0"/>
              <w:rPr>
                <w:sz w:val="24"/>
                <w:szCs w:val="24"/>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115,997</w:t>
            </w:r>
          </w:p>
        </w:tc>
        <w:tc>
          <w:tcPr>
            <w:tcW w:w="3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75,867</w:t>
            </w:r>
          </w:p>
        </w:tc>
        <w:tc>
          <w:tcPr>
            <w:tcW w:w="3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71,220</w:t>
            </w:r>
          </w:p>
        </w:tc>
        <w:tc>
          <w:tcPr>
            <w:tcW w:w="40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42,214</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FFFFFF"/>
              </w:rPr>
              <w:t>(43,830)</w:t>
            </w:r>
          </w:p>
        </w:tc>
      </w:tr>
      <w:tr>
        <w:trPr>
          <w:trHeight w:val="306"/>
        </w:trPr>
        <w:tc>
          <w:tcPr>
            <w:tcW w:w="3320" w:type="dxa"/>
            <w:vAlign w:val="bottom"/>
          </w:tcPr>
          <w:p>
            <w:pPr>
              <w:ind w:left="180"/>
              <w:spacing w:after="0"/>
              <w:rPr>
                <w:sz w:val="20"/>
                <w:szCs w:val="20"/>
                <w:color w:val="auto"/>
              </w:rPr>
            </w:pPr>
            <w:r>
              <w:rPr>
                <w:rFonts w:ascii="Arial" w:cs="Arial" w:eastAsia="Arial" w:hAnsi="Arial"/>
                <w:sz w:val="17"/>
                <w:szCs w:val="17"/>
                <w:color w:val="FFFFFF"/>
              </w:rPr>
              <w:t>Impairments</w:t>
            </w:r>
          </w:p>
        </w:tc>
        <w:tc>
          <w:tcPr>
            <w:tcW w:w="480" w:type="dxa"/>
            <w:vAlign w:val="bottom"/>
          </w:tcPr>
          <w:p>
            <w:pPr>
              <w:spacing w:after="0"/>
              <w:rPr>
                <w:sz w:val="24"/>
                <w:szCs w:val="24"/>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w:t>
            </w:r>
          </w:p>
        </w:tc>
        <w:tc>
          <w:tcPr>
            <w:tcW w:w="3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56,303</w:t>
            </w:r>
          </w:p>
        </w:tc>
        <w:tc>
          <w:tcPr>
            <w:tcW w:w="3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w:t>
            </w:r>
          </w:p>
        </w:tc>
        <w:tc>
          <w:tcPr>
            <w:tcW w:w="40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FFFFFF"/>
              </w:rPr>
              <w:t>340,713</w:t>
            </w:r>
          </w:p>
        </w:tc>
      </w:tr>
      <w:tr>
        <w:trPr>
          <w:trHeight w:val="306"/>
        </w:trPr>
        <w:tc>
          <w:tcPr>
            <w:tcW w:w="3320" w:type="dxa"/>
            <w:vAlign w:val="bottom"/>
          </w:tcPr>
          <w:p>
            <w:pPr>
              <w:ind w:left="180"/>
              <w:spacing w:after="0"/>
              <w:rPr>
                <w:sz w:val="20"/>
                <w:szCs w:val="20"/>
                <w:color w:val="auto"/>
              </w:rPr>
            </w:pPr>
            <w:r>
              <w:rPr>
                <w:rFonts w:ascii="Arial" w:cs="Arial" w:eastAsia="Arial" w:hAnsi="Arial"/>
                <w:sz w:val="17"/>
                <w:szCs w:val="17"/>
                <w:color w:val="FFFFFF"/>
              </w:rPr>
              <w:t>Depreciation and amortization</w:t>
            </w:r>
          </w:p>
        </w:tc>
        <w:tc>
          <w:tcPr>
            <w:tcW w:w="480" w:type="dxa"/>
            <w:vAlign w:val="bottom"/>
          </w:tcPr>
          <w:p>
            <w:pPr>
              <w:spacing w:after="0"/>
              <w:rPr>
                <w:sz w:val="24"/>
                <w:szCs w:val="24"/>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264,126</w:t>
            </w:r>
          </w:p>
        </w:tc>
        <w:tc>
          <w:tcPr>
            <w:tcW w:w="3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240,322</w:t>
            </w:r>
          </w:p>
        </w:tc>
        <w:tc>
          <w:tcPr>
            <w:tcW w:w="3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211,156</w:t>
            </w:r>
          </w:p>
        </w:tc>
        <w:tc>
          <w:tcPr>
            <w:tcW w:w="40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201,443</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FFFFFF"/>
              </w:rPr>
              <w:t>213,718</w:t>
            </w:r>
          </w:p>
        </w:tc>
      </w:tr>
      <w:tr>
        <w:trPr>
          <w:trHeight w:val="306"/>
        </w:trPr>
        <w:tc>
          <w:tcPr>
            <w:tcW w:w="3320" w:type="dxa"/>
            <w:vAlign w:val="bottom"/>
          </w:tcPr>
          <w:p>
            <w:pPr>
              <w:ind w:left="180"/>
              <w:spacing w:after="0"/>
              <w:rPr>
                <w:sz w:val="20"/>
                <w:szCs w:val="20"/>
                <w:color w:val="auto"/>
              </w:rPr>
            </w:pPr>
            <w:r>
              <w:rPr>
                <w:rFonts w:ascii="Arial" w:cs="Arial" w:eastAsia="Arial" w:hAnsi="Arial"/>
                <w:sz w:val="17"/>
                <w:szCs w:val="17"/>
                <w:color w:val="FFFFFF"/>
              </w:rPr>
              <w:t>Adjusted EBITDA**</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781,019</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708,328</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557,319</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rPr>
              <w:t>410,536</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rPr>
              <w:t>306,116</w:t>
            </w:r>
          </w:p>
        </w:tc>
      </w:tr>
      <w:tr>
        <w:trPr>
          <w:trHeight w:val="613"/>
        </w:trPr>
        <w:tc>
          <w:tcPr>
            <w:tcW w:w="3320" w:type="dxa"/>
            <w:vAlign w:val="bottom"/>
          </w:tcPr>
          <w:p>
            <w:pPr>
              <w:spacing w:after="0"/>
              <w:rPr>
                <w:sz w:val="20"/>
                <w:szCs w:val="20"/>
                <w:color w:val="auto"/>
              </w:rPr>
            </w:pPr>
            <w:r>
              <w:rPr>
                <w:rFonts w:ascii="Arial" w:cs="Arial" w:eastAsia="Arial" w:hAnsi="Arial"/>
                <w:sz w:val="17"/>
                <w:szCs w:val="17"/>
                <w:color w:val="FFFFFF"/>
              </w:rPr>
              <w:t>Property and equipment, net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w w:val="95"/>
              </w:rPr>
              <w:t>4,098,058</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w w:val="92"/>
              </w:rPr>
              <w:t>4,022,966</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3,861,105</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3,633,462</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w w:val="95"/>
              </w:rPr>
              <w:t>3,678,515</w:t>
            </w:r>
          </w:p>
        </w:tc>
      </w:tr>
      <w:tr>
        <w:trPr>
          <w:trHeight w:val="306"/>
        </w:trPr>
        <w:tc>
          <w:tcPr>
            <w:tcW w:w="3320" w:type="dxa"/>
            <w:vAlign w:val="bottom"/>
          </w:tcPr>
          <w:p>
            <w:pPr>
              <w:spacing w:after="0"/>
              <w:rPr>
                <w:sz w:val="20"/>
                <w:szCs w:val="20"/>
                <w:color w:val="auto"/>
              </w:rPr>
            </w:pPr>
            <w:r>
              <w:rPr>
                <w:rFonts w:ascii="Arial" w:cs="Arial" w:eastAsia="Arial" w:hAnsi="Arial"/>
                <w:sz w:val="17"/>
                <w:szCs w:val="17"/>
                <w:color w:val="FFFFFF"/>
              </w:rPr>
              <w:t>Total assets</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w w:val="95"/>
              </w:rPr>
              <w:t>6,008,045</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w w:val="92"/>
              </w:rPr>
              <w:t>5,851,952</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5,722,197</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5,554,924</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w w:val="95"/>
              </w:rPr>
              <w:t>5,399,063</w:t>
            </w:r>
          </w:p>
        </w:tc>
      </w:tr>
      <w:tr>
        <w:trPr>
          <w:trHeight w:val="306"/>
        </w:trPr>
        <w:tc>
          <w:tcPr>
            <w:tcW w:w="3320" w:type="dxa"/>
            <w:vAlign w:val="bottom"/>
          </w:tcPr>
          <w:p>
            <w:pPr>
              <w:spacing w:after="0"/>
              <w:rPr>
                <w:sz w:val="20"/>
                <w:szCs w:val="20"/>
                <w:color w:val="auto"/>
              </w:rPr>
            </w:pPr>
            <w:r>
              <w:rPr>
                <w:rFonts w:ascii="Arial" w:cs="Arial" w:eastAsia="Arial" w:hAnsi="Arial"/>
                <w:sz w:val="17"/>
                <w:szCs w:val="17"/>
                <w:color w:val="FFFFFF"/>
              </w:rPr>
              <w:t>Long-term debt, including current portion</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rPr>
              <w:t>919,281</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rPr>
              <w:t>874,948</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1,016,595</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1,079,618</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w w:val="95"/>
              </w:rPr>
              <w:t>1,163,367</w:t>
            </w:r>
          </w:p>
        </w:tc>
      </w:tr>
      <w:tr>
        <w:trPr>
          <w:trHeight w:val="306"/>
        </w:trPr>
        <w:tc>
          <w:tcPr>
            <w:tcW w:w="3320" w:type="dxa"/>
            <w:vAlign w:val="bottom"/>
          </w:tcPr>
          <w:p>
            <w:pPr>
              <w:spacing w:after="0"/>
              <w:rPr>
                <w:sz w:val="20"/>
                <w:szCs w:val="20"/>
                <w:color w:val="auto"/>
              </w:rPr>
            </w:pPr>
            <w:r>
              <w:rPr>
                <w:rFonts w:ascii="Arial" w:cs="Arial" w:eastAsia="Arial" w:hAnsi="Arial"/>
                <w:sz w:val="17"/>
                <w:szCs w:val="17"/>
                <w:color w:val="FFFFFF"/>
              </w:rPr>
              <w:t>Total equity</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960" w:type="dxa"/>
            <w:vAlign w:val="bottom"/>
          </w:tcPr>
          <w:p>
            <w:pPr>
              <w:jc w:val="right"/>
              <w:ind w:right="135"/>
              <w:spacing w:after="0"/>
              <w:rPr>
                <w:sz w:val="20"/>
                <w:szCs w:val="20"/>
                <w:color w:val="auto"/>
              </w:rPr>
            </w:pPr>
            <w:r>
              <w:rPr>
                <w:rFonts w:ascii="Arial" w:cs="Arial" w:eastAsia="Arial" w:hAnsi="Arial"/>
                <w:sz w:val="17"/>
                <w:szCs w:val="17"/>
                <w:b w:val="1"/>
                <w:bCs w:val="1"/>
                <w:color w:val="FFFFFF"/>
                <w:w w:val="95"/>
              </w:rPr>
              <w:t>3,382,793</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FFFFFF"/>
                <w:w w:val="92"/>
              </w:rPr>
              <w:t>3,353,248</w:t>
            </w:r>
          </w:p>
        </w:tc>
        <w:tc>
          <w:tcPr>
            <w:tcW w:w="32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3,186,677</w:t>
            </w:r>
          </w:p>
        </w:tc>
        <w:tc>
          <w:tcPr>
            <w:tcW w:w="400" w:type="dxa"/>
            <w:vAlign w:val="bottom"/>
          </w:tcPr>
          <w:p>
            <w:pPr>
              <w:jc w:val="right"/>
              <w:spacing w:after="0"/>
              <w:rPr>
                <w:sz w:val="20"/>
                <w:szCs w:val="20"/>
                <w:color w:val="auto"/>
              </w:rPr>
            </w:pPr>
            <w:r>
              <w:rPr>
                <w:rFonts w:ascii="Arial" w:cs="Arial" w:eastAsia="Arial" w:hAnsi="Arial"/>
                <w:sz w:val="17"/>
                <w:szCs w:val="17"/>
                <w:color w:val="FFFFFF"/>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FFFFFF"/>
                <w:w w:val="95"/>
              </w:rPr>
              <w:t>3,045,168</w:t>
            </w:r>
          </w:p>
        </w:tc>
        <w:tc>
          <w:tcPr>
            <w:tcW w:w="420" w:type="dxa"/>
            <w:vAlign w:val="bottom"/>
          </w:tcPr>
          <w:p>
            <w:pPr>
              <w:jc w:val="right"/>
              <w:spacing w:after="0"/>
              <w:rPr>
                <w:sz w:val="20"/>
                <w:szCs w:val="20"/>
                <w:color w:val="auto"/>
              </w:rPr>
            </w:pPr>
            <w:r>
              <w:rPr>
                <w:rFonts w:ascii="Arial" w:cs="Arial" w:eastAsia="Arial" w:hAnsi="Arial"/>
                <w:sz w:val="17"/>
                <w:szCs w:val="17"/>
                <w:color w:val="FFFFFF"/>
              </w:rPr>
              <w:t>$</w:t>
            </w:r>
          </w:p>
        </w:tc>
        <w:tc>
          <w:tcPr>
            <w:tcW w:w="760" w:type="dxa"/>
            <w:vAlign w:val="bottom"/>
          </w:tcPr>
          <w:p>
            <w:pPr>
              <w:jc w:val="right"/>
              <w:spacing w:after="0"/>
              <w:rPr>
                <w:sz w:val="20"/>
                <w:szCs w:val="20"/>
                <w:color w:val="auto"/>
              </w:rPr>
            </w:pPr>
            <w:r>
              <w:rPr>
                <w:rFonts w:ascii="Arial" w:cs="Arial" w:eastAsia="Arial" w:hAnsi="Arial"/>
                <w:sz w:val="17"/>
                <w:szCs w:val="17"/>
                <w:color w:val="FFFFFF"/>
                <w:w w:val="95"/>
              </w:rPr>
              <w:t>2,888,782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0" w:right="200" w:hanging="190"/>
        <w:spacing w:after="0" w:line="256" w:lineRule="auto"/>
        <w:tabs>
          <w:tab w:leader="none" w:pos="190" w:val="left"/>
        </w:tabs>
        <w:numPr>
          <w:ilvl w:val="0"/>
          <w:numId w:val="1"/>
        </w:numPr>
        <w:rPr>
          <w:rFonts w:ascii="Arial" w:cs="Arial" w:eastAsia="Arial" w:hAnsi="Arial"/>
          <w:sz w:val="12"/>
          <w:szCs w:val="12"/>
          <w:color w:val="FFFFFF"/>
        </w:rPr>
      </w:pPr>
      <w:r>
        <w:rPr>
          <w:rFonts w:ascii="Arial" w:cs="Arial" w:eastAsia="Arial" w:hAnsi="Arial"/>
          <w:sz w:val="13"/>
          <w:szCs w:val="13"/>
          <w:color w:val="FFFFFF"/>
        </w:rPr>
        <w:t>Net earnings (loss) attributable to Kirby, excluding one-time items and net earnings per share attributable to Kirby, excluding one-time items are non-GAAP financial measures which exclude certain one-time items as defined in footnotes 1, 2, 3 and 4. Management believes that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Kirby’s normal operating results.</w:t>
      </w:r>
    </w:p>
    <w:p>
      <w:pPr>
        <w:spacing w:after="0" w:line="74" w:lineRule="exact"/>
        <w:rPr>
          <w:sz w:val="20"/>
          <w:szCs w:val="20"/>
          <w:color w:val="auto"/>
        </w:rPr>
      </w:pPr>
    </w:p>
    <w:p>
      <w:pPr>
        <w:ind w:left="190" w:hanging="190"/>
        <w:spacing w:after="0" w:line="256" w:lineRule="auto"/>
        <w:tabs>
          <w:tab w:leader="none" w:pos="174" w:val="left"/>
        </w:tabs>
        <w:numPr>
          <w:ilvl w:val="0"/>
          <w:numId w:val="2"/>
        </w:numPr>
        <w:rPr>
          <w:rFonts w:ascii="Arial" w:cs="Arial" w:eastAsia="Arial" w:hAnsi="Arial"/>
          <w:sz w:val="13"/>
          <w:szCs w:val="13"/>
          <w:color w:val="FFFFFF"/>
        </w:rPr>
      </w:pPr>
      <w:r>
        <w:rPr>
          <w:rFonts w:ascii="Arial" w:cs="Arial" w:eastAsia="Arial" w:hAnsi="Arial"/>
          <w:sz w:val="13"/>
          <w:szCs w:val="13"/>
          <w:color w:val="FFFFFF"/>
        </w:rPr>
        <w:t>Adjusted EBITDA, defined as net earnings (loss) attributable to Kirby before interest expense, taxes on income, depreciation and amortization, and impairments is a non-GAAP financial measure used by Kirby because of its wide acceptance as a measure of operating profitability before nonoperating expenses (interest and taxes) and noncash charges (impairments and depreciation and amortization).</w:t>
      </w:r>
    </w:p>
    <w:p>
      <w:pPr>
        <w:spacing w:after="0" w:line="74" w:lineRule="exact"/>
        <w:rPr>
          <w:sz w:val="20"/>
          <w:szCs w:val="20"/>
          <w:color w:val="auto"/>
        </w:rPr>
      </w:pPr>
    </w:p>
    <w:p>
      <w:pPr>
        <w:ind w:left="190" w:right="280" w:hanging="190"/>
        <w:spacing w:after="0" w:line="255" w:lineRule="auto"/>
        <w:tabs>
          <w:tab w:leader="none" w:pos="190" w:val="left"/>
        </w:tabs>
        <w:numPr>
          <w:ilvl w:val="0"/>
          <w:numId w:val="3"/>
        </w:numPr>
        <w:rPr>
          <w:rFonts w:ascii="Arial" w:cs="Arial" w:eastAsia="Arial" w:hAnsi="Arial"/>
          <w:sz w:val="9"/>
          <w:szCs w:val="9"/>
          <w:color w:val="FFFFFF"/>
        </w:rPr>
      </w:pPr>
      <w:r>
        <w:rPr>
          <w:rFonts w:ascii="Arial" w:cs="Arial" w:eastAsia="Arial" w:hAnsi="Arial"/>
          <w:sz w:val="13"/>
          <w:szCs w:val="13"/>
          <w:color w:val="FFFFFF"/>
        </w:rPr>
        <w:t>The 2024 year included the following one-time items (after tax): $43.0 million, or $0.74 per share, one-time charge associated with impairments; and $10.9 million, or $0.19 per share, of credit associated with a change in Louisiana tax law.</w:t>
      </w:r>
    </w:p>
    <w:p>
      <w:pPr>
        <w:spacing w:after="0" w:line="74" w:lineRule="exact"/>
        <w:rPr>
          <w:sz w:val="20"/>
          <w:szCs w:val="20"/>
          <w:color w:val="auto"/>
        </w:rPr>
      </w:pPr>
    </w:p>
    <w:p>
      <w:pPr>
        <w:ind w:left="190" w:right="40" w:hanging="190"/>
        <w:spacing w:after="0" w:line="255" w:lineRule="auto"/>
        <w:tabs>
          <w:tab w:leader="none" w:pos="190" w:val="left"/>
        </w:tabs>
        <w:numPr>
          <w:ilvl w:val="0"/>
          <w:numId w:val="4"/>
        </w:numPr>
        <w:rPr>
          <w:rFonts w:ascii="Arial" w:cs="Arial" w:eastAsia="Arial" w:hAnsi="Arial"/>
          <w:sz w:val="9"/>
          <w:szCs w:val="9"/>
          <w:color w:val="FFFFFF"/>
        </w:rPr>
      </w:pPr>
      <w:r>
        <w:rPr>
          <w:rFonts w:ascii="Arial" w:cs="Arial" w:eastAsia="Arial" w:hAnsi="Arial"/>
          <w:sz w:val="13"/>
          <w:szCs w:val="13"/>
          <w:color w:val="FFFFFF"/>
        </w:rPr>
        <w:t>The 2023 year included the following one-time items (after tax): $2.4 million, or $0.04 per share, strategic review and shareholder engagement expense; and $2.2 million, or $0.04 per share, of income associated with the interest on a refund from the Internal Revenue Service.</w:t>
      </w:r>
    </w:p>
    <w:p>
      <w:pPr>
        <w:spacing w:after="0" w:line="74" w:lineRule="exact"/>
        <w:rPr>
          <w:sz w:val="20"/>
          <w:szCs w:val="20"/>
          <w:color w:val="auto"/>
        </w:rPr>
      </w:pPr>
    </w:p>
    <w:p>
      <w:pPr>
        <w:ind w:left="190" w:right="160" w:hanging="190"/>
        <w:spacing w:after="0" w:line="255" w:lineRule="auto"/>
        <w:tabs>
          <w:tab w:leader="none" w:pos="190" w:val="left"/>
        </w:tabs>
        <w:numPr>
          <w:ilvl w:val="0"/>
          <w:numId w:val="5"/>
        </w:numPr>
        <w:rPr>
          <w:rFonts w:ascii="Arial" w:cs="Arial" w:eastAsia="Arial" w:hAnsi="Arial"/>
          <w:sz w:val="9"/>
          <w:szCs w:val="9"/>
          <w:color w:val="FFFFFF"/>
        </w:rPr>
      </w:pPr>
      <w:r>
        <w:rPr>
          <w:rFonts w:ascii="Arial" w:cs="Arial" w:eastAsia="Arial" w:hAnsi="Arial"/>
          <w:sz w:val="13"/>
          <w:szCs w:val="13"/>
          <w:color w:val="FFFFFF"/>
        </w:rPr>
        <w:t>The 2022 year included the following one-time items (after tax): $3.7 million, or $0.06 per share, severance and early retirement expense; and $0.6 million, or $0.01 per share, of professional fees related to the Company’s strategic alternatives review.</w:t>
      </w:r>
    </w:p>
    <w:p>
      <w:pPr>
        <w:spacing w:after="0" w:line="74" w:lineRule="exact"/>
        <w:rPr>
          <w:sz w:val="20"/>
          <w:szCs w:val="20"/>
          <w:color w:val="auto"/>
        </w:rPr>
      </w:pPr>
    </w:p>
    <w:p>
      <w:pPr>
        <w:ind w:left="190" w:right="20" w:hanging="190"/>
        <w:spacing w:after="0" w:line="256" w:lineRule="auto"/>
        <w:tabs>
          <w:tab w:leader="none" w:pos="190" w:val="left"/>
        </w:tabs>
        <w:numPr>
          <w:ilvl w:val="0"/>
          <w:numId w:val="6"/>
        </w:numPr>
        <w:rPr>
          <w:rFonts w:ascii="Arial" w:cs="Arial" w:eastAsia="Arial" w:hAnsi="Arial"/>
          <w:sz w:val="9"/>
          <w:szCs w:val="9"/>
          <w:color w:val="FFFFFF"/>
        </w:rPr>
      </w:pPr>
      <w:r>
        <w:rPr>
          <w:rFonts w:ascii="Arial" w:cs="Arial" w:eastAsia="Arial" w:hAnsi="Arial"/>
          <w:sz w:val="13"/>
          <w:szCs w:val="13"/>
          <w:color w:val="FFFFFF"/>
        </w:rPr>
        <w:t>The 2021 year included the following one-time items (after tax): $275.0 million, or $4.58 per share, non-cash charges related to impairment of long-lived assets in coastal marine transportation equipment and impairment of goodwill in the marine transportation segment; and $5.7 million, or $0.09 per share, one-time deferred tax provision related to a change in Louisiana tax law.</w:t>
      </w:r>
    </w:p>
    <w:p>
      <w:pPr>
        <w:sectPr>
          <w:pgSz w:w="12240" w:h="15840" w:orient="portrait"/>
          <w:cols w:equalWidth="0" w:num="1">
            <w:col w:w="9990"/>
          </w:cols>
          <w:pgMar w:left="810" w:top="769" w:right="14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
        <w:spacing w:after="0"/>
        <w:rPr>
          <w:sz w:val="20"/>
          <w:szCs w:val="20"/>
          <w:color w:val="auto"/>
        </w:rPr>
      </w:pPr>
      <w:r>
        <w:rPr>
          <w:rFonts w:ascii="Arial" w:cs="Arial" w:eastAsia="Arial" w:hAnsi="Arial"/>
          <w:sz w:val="13"/>
          <w:szCs w:val="13"/>
          <w:color w:val="FFFFFF"/>
        </w:rPr>
        <w:t xml:space="preserve">Front cover photo: </w:t>
      </w:r>
      <w:r>
        <w:rPr>
          <w:rFonts w:ascii="Arial" w:cs="Arial" w:eastAsia="Arial" w:hAnsi="Arial"/>
          <w:sz w:val="13"/>
          <w:szCs w:val="13"/>
          <w:i w:val="1"/>
          <w:iCs w:val="1"/>
          <w:color w:val="FFFFFF"/>
        </w:rPr>
        <w:t>Kirby vessel navigating the Mississippi River near St. James Parish, Louisiana.</w:t>
      </w:r>
    </w:p>
    <w:p>
      <w:pPr>
        <w:sectPr>
          <w:pgSz w:w="12240" w:h="15840" w:orient="portrait"/>
          <w:cols w:equalWidth="0" w:num="1">
            <w:col w:w="9990"/>
          </w:cols>
          <w:pgMar w:left="810" w:top="769" w:right="1440" w:bottom="7"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28"/>
          <w:szCs w:val="28"/>
          <w:b w:val="1"/>
          <w:bCs w:val="1"/>
          <w:color w:val="00712E"/>
        </w:rPr>
        <w:t>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001E58"/>
        </w:rPr>
        <w:t>2025 IN REVIEW</w:t>
      </w:r>
    </w:p>
    <w:p>
      <w:pPr>
        <w:spacing w:after="0" w:line="331" w:lineRule="exact"/>
        <w:rPr>
          <w:sz w:val="20"/>
          <w:szCs w:val="20"/>
          <w:color w:val="auto"/>
        </w:rPr>
      </w:pPr>
    </w:p>
    <w:p>
      <w:pPr>
        <w:ind w:left="100" w:right="260"/>
        <w:spacing w:after="0" w:line="428" w:lineRule="auto"/>
        <w:rPr>
          <w:sz w:val="20"/>
          <w:szCs w:val="20"/>
          <w:color w:val="auto"/>
        </w:rPr>
      </w:pPr>
      <w:r>
        <w:rPr>
          <w:rFonts w:ascii="Arial" w:cs="Arial" w:eastAsia="Arial" w:hAnsi="Arial"/>
          <w:sz w:val="22"/>
          <w:szCs w:val="22"/>
          <w:color w:val="00712E"/>
        </w:rPr>
        <w:t>Kirby had a record year in 2025 with the strongest overall performance in our Company’s history. It was a year defined by strong execution, disciplined decision-making, and continued progress on our long-term strategy, even as conditions varied across our end markets. We delivered the highest earnings per share in Kirby’s history, generated strong free cash flow, returned a significant amount of capital to shareholders, while maintaining our investment grade balance sheet. Just as importantly, we did so while maintaining our focus on safety and excellent customer service.</w:t>
      </w:r>
    </w:p>
    <w:p>
      <w:pPr>
        <w:sectPr>
          <w:pgSz w:w="12240" w:h="15840" w:orient="portrait"/>
          <w:cols w:equalWidth="0" w:num="1">
            <w:col w:w="10000"/>
          </w:cols>
          <w:pgMar w:left="1440" w:top="769" w:right="800" w:bottom="0" w:gutter="0" w:footer="0" w:header="0"/>
        </w:sectPr>
      </w:pPr>
    </w:p>
    <w:p>
      <w:pPr>
        <w:spacing w:after="0" w:line="280" w:lineRule="exact"/>
        <w:rPr>
          <w:sz w:val="20"/>
          <w:szCs w:val="20"/>
          <w:color w:val="auto"/>
        </w:rPr>
      </w:pPr>
    </w:p>
    <w:p>
      <w:pPr>
        <w:ind w:left="100" w:right="60"/>
        <w:spacing w:after="0" w:line="236" w:lineRule="exact"/>
        <w:rPr>
          <w:sz w:val="20"/>
          <w:szCs w:val="20"/>
          <w:color w:val="auto"/>
        </w:rPr>
      </w:pPr>
      <w:r>
        <w:rPr>
          <w:rFonts w:ascii="Arial" w:cs="Arial" w:eastAsia="Arial" w:hAnsi="Arial"/>
          <w:sz w:val="14"/>
          <w:szCs w:val="14"/>
          <w:color w:val="auto"/>
        </w:rPr>
        <w:t>At the core of this performance were our values: Safety, People, Integrity, Excellence, and Communities. Safety remains foundational to everything we do. Our continued commitment to “No Harm” performance supports not only the well-being of our employees HUK</w:t>
      </w:r>
      <w:r>
        <w:rPr>
          <w:rFonts w:ascii="PMingLiU" w:cs="PMingLiU" w:eastAsia="PMingLiU" w:hAnsi="PMingLiU"/>
          <w:sz w:val="14"/>
          <w:szCs w:val="14"/>
          <w:color w:val="auto"/>
        </w:rPr>
        <w:t/>
      </w:r>
      <w:r>
        <w:rPr>
          <w:rFonts w:ascii="Arial" w:cs="Arial" w:eastAsia="Arial" w:hAnsi="Arial"/>
          <w:sz w:val="14"/>
          <w:szCs w:val="14"/>
          <w:color w:val="auto"/>
        </w:rPr>
        <w:t>JVTT\UP[PLZ</w:t>
      </w:r>
      <w:r>
        <w:rPr>
          <w:rFonts w:ascii="PMingLiU" w:cs="PMingLiU" w:eastAsia="PMingLiU" w:hAnsi="PMingLiU"/>
          <w:sz w:val="14"/>
          <w:szCs w:val="14"/>
          <w:color w:val="auto"/>
        </w:rPr>
        <w:t/>
      </w:r>
      <w:r>
        <w:rPr>
          <w:rFonts w:ascii="Arial" w:cs="Arial" w:eastAsia="Arial" w:hAnsi="Arial"/>
          <w:sz w:val="14"/>
          <w:szCs w:val="14"/>
          <w:color w:val="auto"/>
        </w:rPr>
        <w:t>I\[</w:t>
      </w:r>
      <w:r>
        <w:rPr>
          <w:rFonts w:ascii="PMingLiU" w:cs="PMingLiU" w:eastAsia="PMingLiU" w:hAnsi="PMingLiU"/>
          <w:sz w:val="14"/>
          <w:szCs w:val="14"/>
          <w:color w:val="auto"/>
        </w:rPr>
        <w:t/>
      </w:r>
      <w:r>
        <w:rPr>
          <w:rFonts w:ascii="Arial" w:cs="Arial" w:eastAsia="Arial" w:hAnsi="Arial"/>
          <w:sz w:val="14"/>
          <w:szCs w:val="14"/>
          <w:color w:val="auto"/>
        </w:rPr>
        <w:t>HSZV</w:t>
      </w:r>
      <w:r>
        <w:rPr>
          <w:rFonts w:ascii="PMingLiU" w:cs="PMingLiU" w:eastAsia="PMingLiU" w:hAnsi="PMingLiU"/>
          <w:sz w:val="14"/>
          <w:szCs w:val="14"/>
          <w:color w:val="auto"/>
        </w:rPr>
        <w:t/>
      </w:r>
      <w:r>
        <w:rPr>
          <w:rFonts w:ascii="Arial" w:cs="Arial" w:eastAsia="Arial" w:hAnsi="Arial"/>
          <w:sz w:val="14"/>
          <w:szCs w:val="14"/>
          <w:color w:val="auto"/>
        </w:rPr>
        <w:t>YLSPHISL</w:t>
      </w:r>
      <w:r>
        <w:rPr>
          <w:rFonts w:ascii="PMingLiU" w:cs="PMingLiU" w:eastAsia="PMingLiU" w:hAnsi="PMingLiU"/>
          <w:sz w:val="14"/>
          <w:szCs w:val="14"/>
          <w:color w:val="auto"/>
        </w:rPr>
        <w:t/>
      </w:r>
      <w:r>
        <w:rPr>
          <w:rFonts w:ascii="Arial" w:cs="Arial" w:eastAsia="Arial" w:hAnsi="Arial"/>
          <w:sz w:val="14"/>
          <w:szCs w:val="14"/>
          <w:color w:val="auto"/>
        </w:rPr>
        <w:t>VWLYH[PVUZ</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Z[YVUN</w:t>
      </w:r>
      <w:r>
        <w:rPr>
          <w:rFonts w:ascii="PMingLiU" w:cs="PMingLiU" w:eastAsia="PMingLiU" w:hAnsi="PMingLiU"/>
          <w:sz w:val="14"/>
          <w:szCs w:val="14"/>
          <w:color w:val="auto"/>
        </w:rPr>
        <w:t/>
      </w:r>
      <w:r>
        <w:rPr>
          <w:rFonts w:ascii="Arial" w:cs="Arial" w:eastAsia="Arial" w:hAnsi="Arial"/>
          <w:sz w:val="14"/>
          <w:szCs w:val="14"/>
          <w:color w:val="auto"/>
        </w:rPr>
        <w:t>ÄUHUJ HS outcomes. In 2025, marine transportation (“KMT”) reduced injury rates by more than 30% year over year and achieved the lowest recordable injury rate in Kirby’s history. Within distribution and services (“KDS”), our manufacturing operations also delivered an exceptional safety result, achieving zero recordable incidents for the year. While every year presents challenges, our focus on safe and disciplined execution remained constant throughout 2025.</w:t>
      </w:r>
    </w:p>
    <w:p>
      <w:pPr>
        <w:spacing w:after="0" w:line="26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1E58"/>
        </w:rPr>
        <w:t>STRONG PERFORMANCE, DISCIPLINED EXECUTION</w:t>
      </w:r>
    </w:p>
    <w:p>
      <w:pPr>
        <w:spacing w:after="0" w:line="91" w:lineRule="exact"/>
        <w:rPr>
          <w:sz w:val="20"/>
          <w:szCs w:val="20"/>
          <w:color w:val="auto"/>
        </w:rPr>
      </w:pPr>
    </w:p>
    <w:p>
      <w:pPr>
        <w:ind w:left="180" w:right="300" w:hanging="89"/>
        <w:spacing w:after="0" w:line="333" w:lineRule="auto"/>
        <w:rPr>
          <w:sz w:val="20"/>
          <w:szCs w:val="20"/>
          <w:color w:val="auto"/>
        </w:rPr>
      </w:pPr>
      <w:r>
        <w:rPr>
          <w:rFonts w:ascii="Arial" w:cs="Arial" w:eastAsia="Arial" w:hAnsi="Arial"/>
          <w:sz w:val="15"/>
          <w:szCs w:val="15"/>
          <w:color w:val="auto"/>
        </w:rPr>
        <w:t>In 2025, revenues increased to approximately $3.4 billion, and arnings per share increased to $6.33, representing the highest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earnings per share in the Company’s history. During the year, we</w:t>
      </w:r>
    </w:p>
    <w:p>
      <w:pPr>
        <w:spacing w:after="0" w:line="56" w:lineRule="exact"/>
        <w:rPr>
          <w:sz w:val="20"/>
          <w:szCs w:val="20"/>
          <w:color w:val="auto"/>
        </w:rPr>
      </w:pPr>
    </w:p>
    <w:p>
      <w:pPr>
        <w:ind w:left="100"/>
        <w:spacing w:after="0" w:line="182" w:lineRule="exact"/>
        <w:rPr>
          <w:sz w:val="20"/>
          <w:szCs w:val="20"/>
          <w:color w:val="auto"/>
        </w:rPr>
      </w:pPr>
      <w:r>
        <w:rPr>
          <w:rFonts w:ascii="Arial" w:cs="Arial" w:eastAsia="Arial" w:hAnsi="Arial"/>
          <w:sz w:val="15"/>
          <w:szCs w:val="15"/>
          <w:color w:val="auto"/>
        </w:rPr>
        <w:t>YLTHPULK</w:t>
      </w:r>
      <w:r>
        <w:rPr>
          <w:rFonts w:ascii="PMingLiU" w:cs="PMingLiU" w:eastAsia="PMingLiU" w:hAnsi="PMingLiU"/>
          <w:sz w:val="15"/>
          <w:szCs w:val="15"/>
          <w:color w:val="auto"/>
        </w:rPr>
        <w:t/>
      </w:r>
      <w:r>
        <w:rPr>
          <w:rFonts w:ascii="Arial" w:cs="Arial" w:eastAsia="Arial" w:hAnsi="Arial"/>
          <w:sz w:val="15"/>
          <w:szCs w:val="15"/>
          <w:color w:val="auto"/>
        </w:rPr>
        <w:t>MVJ\ZLK</w:t>
      </w:r>
      <w:r>
        <w:rPr>
          <w:rFonts w:ascii="PMingLiU" w:cs="PMingLiU" w:eastAsia="PMingLiU" w:hAnsi="PMingLiU"/>
          <w:sz w:val="15"/>
          <w:szCs w:val="15"/>
          <w:color w:val="auto"/>
        </w:rPr>
        <w:t/>
      </w:r>
      <w:r>
        <w:rPr>
          <w:rFonts w:ascii="Arial" w:cs="Arial" w:eastAsia="Arial" w:hAnsi="Arial"/>
          <w:sz w:val="15"/>
          <w:szCs w:val="15"/>
          <w:color w:val="auto"/>
        </w:rPr>
        <w:t>VU</w:t>
      </w:r>
      <w:r>
        <w:rPr>
          <w:rFonts w:ascii="PMingLiU" w:cs="PMingLiU" w:eastAsia="PMingLiU" w:hAnsi="PMingLiU"/>
          <w:sz w:val="15"/>
          <w:szCs w:val="15"/>
          <w:color w:val="auto"/>
        </w:rPr>
        <w:t/>
      </w:r>
      <w:r>
        <w:rPr>
          <w:rFonts w:ascii="Arial" w:cs="Arial" w:eastAsia="Arial" w:hAnsi="Arial"/>
          <w:sz w:val="15"/>
          <w:szCs w:val="15"/>
          <w:color w:val="auto"/>
        </w:rPr>
        <w:t>KYP]PUN</w:t>
      </w:r>
      <w:r>
        <w:rPr>
          <w:rFonts w:ascii="PMingLiU" w:cs="PMingLiU" w:eastAsia="PMingLiU" w:hAnsi="PMingLiU"/>
          <w:sz w:val="15"/>
          <w:szCs w:val="15"/>
          <w:color w:val="auto"/>
        </w:rPr>
        <w:t/>
      </w:r>
      <w:r>
        <w:rPr>
          <w:rFonts w:ascii="Arial" w:cs="Arial" w:eastAsia="Arial" w:hAnsi="Arial"/>
          <w:sz w:val="15"/>
          <w:szCs w:val="15"/>
          <w:color w:val="auto"/>
        </w:rPr>
        <w:t>Z[YVUN</w:t>
      </w:r>
      <w:r>
        <w:rPr>
          <w:rFonts w:ascii="PMingLiU" w:cs="PMingLiU" w:eastAsia="PMingLiU" w:hAnsi="PMingLiU"/>
          <w:sz w:val="15"/>
          <w:szCs w:val="15"/>
          <w:color w:val="auto"/>
        </w:rPr>
        <w:t/>
      </w:r>
      <w:r>
        <w:rPr>
          <w:rFonts w:ascii="Arial" w:cs="Arial" w:eastAsia="Arial" w:hAnsi="Arial"/>
          <w:sz w:val="15"/>
          <w:szCs w:val="15"/>
          <w:color w:val="auto"/>
        </w:rPr>
        <w:t>JHZO</w:t>
      </w:r>
      <w:r>
        <w:rPr>
          <w:rFonts w:ascii="PMingLiU" w:cs="PMingLiU" w:eastAsia="PMingLiU" w:hAnsi="PMingLiU"/>
          <w:sz w:val="15"/>
          <w:szCs w:val="15"/>
          <w:color w:val="auto"/>
        </w:rPr>
        <w:t/>
      </w:r>
      <w:r>
        <w:rPr>
          <w:rFonts w:ascii="Arial" w:cs="Arial" w:eastAsia="Arial" w:hAnsi="Arial"/>
          <w:sz w:val="15"/>
          <w:szCs w:val="15"/>
          <w:color w:val="auto"/>
        </w:rPr>
        <w:t>ÅV^</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NLULYH[LK</w:t>
      </w:r>
    </w:p>
    <w:p>
      <w:pPr>
        <w:spacing w:after="0" w:line="58" w:lineRule="exact"/>
        <w:rPr>
          <w:sz w:val="20"/>
          <w:szCs w:val="20"/>
          <w:color w:val="auto"/>
        </w:rPr>
      </w:pPr>
    </w:p>
    <w:p>
      <w:pPr>
        <w:ind w:left="100"/>
        <w:spacing w:after="0" w:line="170" w:lineRule="exact"/>
        <w:rPr>
          <w:sz w:val="20"/>
          <w:szCs w:val="20"/>
          <w:color w:val="auto"/>
        </w:rPr>
      </w:pPr>
      <w:r>
        <w:rPr>
          <w:rFonts w:ascii="Arial" w:cs="Arial" w:eastAsia="Arial" w:hAnsi="Arial"/>
          <w:sz w:val="14"/>
          <w:szCs w:val="14"/>
          <w:color w:val="auto"/>
        </w:rPr>
        <w:t>HWWYV_PTH[LS`</w:t>
      </w:r>
      <w:r>
        <w:rPr>
          <w:rFonts w:ascii="PMingLiU" w:cs="PMingLiU" w:eastAsia="PMingLiU" w:hAnsi="PMingLiU"/>
          <w:sz w:val="14"/>
          <w:szCs w:val="14"/>
          <w:color w:val="auto"/>
        </w:rPr>
        <w:t/>
      </w:r>
      <w:r>
        <w:rPr>
          <w:rFonts w:ascii="Arial" w:cs="Arial" w:eastAsia="Arial" w:hAnsi="Arial"/>
          <w:sz w:val="14"/>
          <w:szCs w:val="14"/>
          <w:color w:val="auto"/>
        </w:rPr>
        <w:t>TPSSPVU</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r>
        <w:rPr>
          <w:rFonts w:ascii="Arial" w:cs="Arial" w:eastAsia="Arial" w:hAnsi="Arial"/>
          <w:sz w:val="14"/>
          <w:szCs w:val="14"/>
          <w:color w:val="auto"/>
        </w:rPr>
        <w:t>JHZO</w:t>
      </w:r>
      <w:r>
        <w:rPr>
          <w:rFonts w:ascii="PMingLiU" w:cs="PMingLiU" w:eastAsia="PMingLiU" w:hAnsi="PMingLiU"/>
          <w:sz w:val="14"/>
          <w:szCs w:val="14"/>
          <w:color w:val="auto"/>
        </w:rPr>
        <w:t/>
      </w:r>
      <w:r>
        <w:rPr>
          <w:rFonts w:ascii="Arial" w:cs="Arial" w:eastAsia="Arial" w:hAnsi="Arial"/>
          <w:sz w:val="14"/>
          <w:szCs w:val="14"/>
          <w:color w:val="auto"/>
        </w:rPr>
        <w:t>ÅV^</w:t>
      </w:r>
      <w:r>
        <w:rPr>
          <w:rFonts w:ascii="PMingLiU" w:cs="PMingLiU" w:eastAsia="PMingLiU" w:hAnsi="PMingLiU"/>
          <w:sz w:val="14"/>
          <w:szCs w:val="14"/>
          <w:color w:val="auto"/>
        </w:rPr>
        <w:t/>
      </w:r>
      <w:r>
        <w:rPr>
          <w:rFonts w:ascii="Arial" w:cs="Arial" w:eastAsia="Arial" w:hAnsi="Arial"/>
          <w:sz w:val="14"/>
          <w:szCs w:val="14"/>
          <w:color w:val="auto"/>
        </w:rPr>
        <w:t>MYVT</w:t>
      </w:r>
      <w:r>
        <w:rPr>
          <w:rFonts w:ascii="PMingLiU" w:cs="PMingLiU" w:eastAsia="PMingLiU" w:hAnsi="PMingLiU"/>
          <w:sz w:val="14"/>
          <w:szCs w:val="14"/>
          <w:color w:val="auto"/>
        </w:rPr>
        <w:t/>
      </w:r>
      <w:r>
        <w:rPr>
          <w:rFonts w:ascii="Arial" w:cs="Arial" w:eastAsia="Arial" w:hAnsi="Arial"/>
          <w:sz w:val="14"/>
          <w:szCs w:val="14"/>
          <w:color w:val="auto"/>
        </w:rPr>
        <w:t>VWLYH[PVUZ</w:t>
      </w:r>
      <w:r>
        <w:rPr>
          <w:rFonts w:ascii="PMingLiU" w:cs="PMingLiU" w:eastAsia="PMingLiU" w:hAnsi="PMingLiU"/>
          <w:sz w:val="14"/>
          <w:szCs w:val="14"/>
          <w:color w:val="auto"/>
        </w:rPr>
        <w:t/>
      </w:r>
      <w:r>
        <w:rPr>
          <w:rFonts w:ascii="Arial" w:cs="Arial" w:eastAsia="Arial" w:hAnsi="Arial"/>
          <w:sz w:val="14"/>
          <w:szCs w:val="14"/>
          <w:color w:val="auto"/>
        </w:rPr>
        <w:t>^OPJO</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was used to fund capital expenditures and return capital to stock-</w:t>
      </w:r>
    </w:p>
    <w:p>
      <w:pPr>
        <w:spacing w:after="0" w:line="56" w:lineRule="exact"/>
        <w:rPr>
          <w:sz w:val="20"/>
          <w:szCs w:val="20"/>
          <w:color w:val="auto"/>
        </w:rPr>
      </w:pPr>
    </w:p>
    <w:p>
      <w:pPr>
        <w:ind w:left="100"/>
        <w:spacing w:after="0" w:line="182" w:lineRule="exact"/>
        <w:rPr>
          <w:sz w:val="20"/>
          <w:szCs w:val="20"/>
          <w:color w:val="auto"/>
        </w:rPr>
      </w:pPr>
      <w:r>
        <w:rPr>
          <w:rFonts w:ascii="Arial" w:cs="Arial" w:eastAsia="Arial" w:hAnsi="Arial"/>
          <w:sz w:val="15"/>
          <w:szCs w:val="15"/>
          <w:color w:val="auto"/>
        </w:rPr>
        <w:t>OVSKLYZ</w:t>
      </w:r>
      <w:r>
        <w:rPr>
          <w:rFonts w:ascii="PMingLiU" w:cs="PMingLiU" w:eastAsia="PMingLiU" w:hAnsi="PMingLiU"/>
          <w:sz w:val="15"/>
          <w:szCs w:val="15"/>
          <w:color w:val="auto"/>
        </w:rPr>
        <w:t/>
      </w: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NLULYH[LK</w:t>
      </w:r>
      <w:r>
        <w:rPr>
          <w:rFonts w:ascii="PMingLiU" w:cs="PMingLiU" w:eastAsia="PMingLiU" w:hAnsi="PMingLiU"/>
          <w:sz w:val="15"/>
          <w:szCs w:val="15"/>
          <w:color w:val="auto"/>
        </w:rPr>
        <w:t/>
      </w:r>
      <w:r>
        <w:rPr>
          <w:rFonts w:ascii="Arial" w:cs="Arial" w:eastAsia="Arial" w:hAnsi="Arial"/>
          <w:sz w:val="15"/>
          <w:szCs w:val="15"/>
          <w:color w:val="auto"/>
        </w:rPr>
        <w:t>TVYL</w:t>
      </w:r>
      <w:r>
        <w:rPr>
          <w:rFonts w:ascii="PMingLiU" w:cs="PMingLiU" w:eastAsia="PMingLiU" w:hAnsi="PMingLiU"/>
          <w:sz w:val="15"/>
          <w:szCs w:val="15"/>
          <w:color w:val="auto"/>
        </w:rPr>
        <w:t/>
      </w:r>
      <w:r>
        <w:rPr>
          <w:rFonts w:ascii="Arial" w:cs="Arial" w:eastAsia="Arial" w:hAnsi="Arial"/>
          <w:sz w:val="15"/>
          <w:szCs w:val="15"/>
          <w:color w:val="auto"/>
        </w:rPr>
        <w:t>[OHU</w:t>
      </w:r>
      <w:r>
        <w:rPr>
          <w:rFonts w:ascii="PMingLiU" w:cs="PMingLiU" w:eastAsia="PMingLiU" w:hAnsi="PMingLiU"/>
          <w:sz w:val="15"/>
          <w:szCs w:val="15"/>
          <w:color w:val="auto"/>
        </w:rPr>
        <w:t/>
      </w:r>
      <w:r>
        <w:rPr>
          <w:rFonts w:ascii="Arial" w:cs="Arial" w:eastAsia="Arial" w:hAnsi="Arial"/>
          <w:sz w:val="15"/>
          <w:szCs w:val="15"/>
          <w:color w:val="auto"/>
        </w:rPr>
        <w:t>TPSSPVU</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MYLL</w:t>
      </w:r>
      <w:r>
        <w:rPr>
          <w:rFonts w:ascii="PMingLiU" w:cs="PMingLiU" w:eastAsia="PMingLiU" w:hAnsi="PMingLiU"/>
          <w:sz w:val="15"/>
          <w:szCs w:val="15"/>
          <w:color w:val="auto"/>
        </w:rPr>
        <w:t/>
      </w:r>
      <w:r>
        <w:rPr>
          <w:rFonts w:ascii="Arial" w:cs="Arial" w:eastAsia="Arial" w:hAnsi="Arial"/>
          <w:sz w:val="15"/>
          <w:szCs w:val="15"/>
          <w:color w:val="auto"/>
        </w:rPr>
        <w:t>JHZO</w:t>
      </w:r>
      <w:r>
        <w:rPr>
          <w:rFonts w:ascii="PMingLiU" w:cs="PMingLiU" w:eastAsia="PMingLiU" w:hAnsi="PMingLiU"/>
          <w:sz w:val="15"/>
          <w:szCs w:val="15"/>
          <w:color w:val="auto"/>
        </w:rPr>
        <w:t/>
      </w:r>
      <w:r>
        <w:rPr>
          <w:rFonts w:ascii="Arial" w:cs="Arial" w:eastAsia="Arial" w:hAnsi="Arial"/>
          <w:sz w:val="15"/>
          <w:szCs w:val="15"/>
          <w:color w:val="auto"/>
        </w:rPr>
        <w:t>ÅV^</w:t>
      </w:r>
      <w:r>
        <w:rPr>
          <w:rFonts w:ascii="PMingLiU" w:cs="PMingLiU" w:eastAsia="PMingLiU" w:hAnsi="PMingLiU"/>
          <w:sz w:val="15"/>
          <w:szCs w:val="15"/>
          <w:color w:val="auto"/>
        </w:rPr>
        <w:t/>
      </w:r>
    </w:p>
    <w:p>
      <w:pPr>
        <w:spacing w:after="0" w:line="58" w:lineRule="exact"/>
        <w:rPr>
          <w:sz w:val="20"/>
          <w:szCs w:val="20"/>
          <w:color w:val="auto"/>
        </w:rPr>
      </w:pPr>
    </w:p>
    <w:p>
      <w:pPr>
        <w:ind w:left="100"/>
        <w:spacing w:after="0" w:line="182" w:lineRule="exact"/>
        <w:rPr>
          <w:sz w:val="20"/>
          <w:szCs w:val="20"/>
          <w:color w:val="auto"/>
        </w:rPr>
      </w:pPr>
      <w:r>
        <w:rPr>
          <w:rFonts w:ascii="Arial" w:cs="Arial" w:eastAsia="Arial" w:hAnsi="Arial"/>
          <w:sz w:val="15"/>
          <w:szCs w:val="15"/>
          <w:color w:val="auto"/>
        </w:rPr>
        <w:t>THYRPUN</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[O</w:t>
      </w:r>
      <w:r>
        <w:rPr>
          <w:rFonts w:ascii="PMingLiU" w:cs="PMingLiU" w:eastAsia="PMingLiU" w:hAnsi="PMingLiU"/>
          <w:sz w:val="15"/>
          <w:szCs w:val="15"/>
          <w:color w:val="auto"/>
        </w:rPr>
        <w:t/>
      </w:r>
      <w:r>
        <w:rPr>
          <w:rFonts w:ascii="Arial" w:cs="Arial" w:eastAsia="Arial" w:hAnsi="Arial"/>
          <w:sz w:val="15"/>
          <w:szCs w:val="15"/>
          <w:color w:val="auto"/>
        </w:rPr>
        <w:t>JVUZLJ\[P]L</w:t>
      </w:r>
      <w:r>
        <w:rPr>
          <w:rFonts w:ascii="PMingLiU" w:cs="PMingLiU" w:eastAsia="PMingLiU" w:hAnsi="PMingLiU"/>
          <w:sz w:val="15"/>
          <w:szCs w:val="15"/>
          <w:color w:val="auto"/>
        </w:rPr>
        <w:t/>
      </w:r>
      <w:r>
        <w:rPr>
          <w:rFonts w:ascii="Arial" w:cs="Arial" w:eastAsia="Arial" w:hAnsi="Arial"/>
          <w:sz w:val="15"/>
          <w:szCs w:val="15"/>
          <w:color w:val="auto"/>
        </w:rPr>
        <w:t>WLYPVK</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WVZP[P]L</w:t>
      </w:r>
      <w:r>
        <w:rPr>
          <w:rFonts w:ascii="PMingLiU" w:cs="PMingLiU" w:eastAsia="PMingLiU" w:hAnsi="PMingLiU"/>
          <w:sz w:val="15"/>
          <w:szCs w:val="15"/>
          <w:color w:val="auto"/>
        </w:rPr>
        <w:t/>
      </w:r>
      <w:r>
        <w:rPr>
          <w:rFonts w:ascii="Arial" w:cs="Arial" w:eastAsia="Arial" w:hAnsi="Arial"/>
          <w:sz w:val="15"/>
          <w:szCs w:val="15"/>
          <w:color w:val="auto"/>
        </w:rPr>
        <w:t>MYLL</w:t>
      </w:r>
      <w:r>
        <w:rPr>
          <w:rFonts w:ascii="PMingLiU" w:cs="PMingLiU" w:eastAsia="PMingLiU" w:hAnsi="PMingLiU"/>
          <w:sz w:val="15"/>
          <w:szCs w:val="15"/>
          <w:color w:val="auto"/>
        </w:rPr>
        <w:t/>
      </w:r>
      <w:r>
        <w:rPr>
          <w:rFonts w:ascii="Arial" w:cs="Arial" w:eastAsia="Arial" w:hAnsi="Arial"/>
          <w:sz w:val="15"/>
          <w:szCs w:val="15"/>
          <w:color w:val="auto"/>
        </w:rPr>
        <w:t>JHZO</w:t>
      </w:r>
      <w:r>
        <w:rPr>
          <w:rFonts w:ascii="PMingLiU" w:cs="PMingLiU" w:eastAsia="PMingLiU" w:hAnsi="PMingLiU"/>
          <w:sz w:val="15"/>
          <w:szCs w:val="15"/>
          <w:color w:val="auto"/>
        </w:rPr>
        <w:t/>
      </w:r>
      <w:r>
        <w:rPr>
          <w:rFonts w:ascii="Arial" w:cs="Arial" w:eastAsia="Arial" w:hAnsi="Arial"/>
          <w:sz w:val="15"/>
          <w:szCs w:val="15"/>
          <w:color w:val="auto"/>
        </w:rPr>
        <w:t>ÅV^</w:t>
      </w:r>
      <w:r>
        <w:rPr>
          <w:rFonts w:ascii="PMingLiU" w:cs="PMingLiU" w:eastAsia="PMingLiU" w:hAnsi="PMingLiU"/>
          <w:sz w:val="15"/>
          <w:szCs w:val="15"/>
          <w:color w:val="auto"/>
        </w:rPr>
        <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generation and our second consecutive year of more than</w:t>
      </w:r>
    </w:p>
    <w:p>
      <w:pPr>
        <w:spacing w:after="0" w:line="56" w:lineRule="exact"/>
        <w:rPr>
          <w:sz w:val="20"/>
          <w:szCs w:val="20"/>
          <w:color w:val="auto"/>
        </w:rPr>
      </w:pPr>
    </w:p>
    <w:p>
      <w:pPr>
        <w:ind w:left="100"/>
        <w:spacing w:after="0" w:line="182" w:lineRule="exact"/>
        <w:rPr>
          <w:sz w:val="20"/>
          <w:szCs w:val="20"/>
          <w:color w:val="auto"/>
        </w:rPr>
      </w:pPr>
      <w:r>
        <w:rPr>
          <w:rFonts w:ascii="PMingLiU" w:cs="PMingLiU" w:eastAsia="PMingLiU" w:hAnsi="PMingLiU"/>
          <w:sz w:val="15"/>
          <w:szCs w:val="15"/>
          <w:color w:val="auto"/>
        </w:rPr>
        <w:t/>
      </w:r>
      <w:r>
        <w:rPr>
          <w:rFonts w:ascii="Arial" w:cs="Arial" w:eastAsia="Arial" w:hAnsi="Arial"/>
          <w:sz w:val="15"/>
          <w:szCs w:val="15"/>
          <w:color w:val="auto"/>
        </w:rPr>
        <w:t>TPSSPVU</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MYLL</w:t>
      </w:r>
      <w:r>
        <w:rPr>
          <w:rFonts w:ascii="PMingLiU" w:cs="PMingLiU" w:eastAsia="PMingLiU" w:hAnsi="PMingLiU"/>
          <w:sz w:val="15"/>
          <w:szCs w:val="15"/>
          <w:color w:val="auto"/>
        </w:rPr>
        <w:t/>
      </w:r>
      <w:r>
        <w:rPr>
          <w:rFonts w:ascii="Arial" w:cs="Arial" w:eastAsia="Arial" w:hAnsi="Arial"/>
          <w:sz w:val="15"/>
          <w:szCs w:val="15"/>
          <w:color w:val="auto"/>
        </w:rPr>
        <w:t>JHZO</w:t>
      </w:r>
      <w:r>
        <w:rPr>
          <w:rFonts w:ascii="PMingLiU" w:cs="PMingLiU" w:eastAsia="PMingLiU" w:hAnsi="PMingLiU"/>
          <w:sz w:val="15"/>
          <w:szCs w:val="15"/>
          <w:color w:val="auto"/>
        </w:rPr>
        <w:t/>
      </w:r>
      <w:r>
        <w:rPr>
          <w:rFonts w:ascii="Arial" w:cs="Arial" w:eastAsia="Arial" w:hAnsi="Arial"/>
          <w:sz w:val="15"/>
          <w:szCs w:val="15"/>
          <w:color w:val="auto"/>
        </w:rPr>
        <w:t>ÅV^</w:t>
      </w:r>
      <w:r>
        <w:rPr>
          <w:rFonts w:ascii="PMingLiU" w:cs="PMingLiU" w:eastAsia="PMingLiU" w:hAnsi="PMingLiU"/>
          <w:sz w:val="15"/>
          <w:szCs w:val="15"/>
          <w:color w:val="auto"/>
        </w:rPr>
        <w:t/>
      </w:r>
      <w:r>
        <w:rPr>
          <w:rFonts w:ascii="Arial" w:cs="Arial" w:eastAsia="Arial" w:hAnsi="Arial"/>
          <w:sz w:val="15"/>
          <w:szCs w:val="15"/>
          <w:color w:val="auto"/>
        </w:rPr>
        <w:t>6]LYHSS</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YL[\YULK</w:t>
      </w:r>
      <w:r>
        <w:rPr>
          <w:rFonts w:ascii="PMingLiU" w:cs="PMingLiU" w:eastAsia="PMingLiU" w:hAnsi="PMingLiU"/>
          <w:sz w:val="15"/>
          <w:szCs w:val="15"/>
          <w:color w:val="auto"/>
        </w:rPr>
        <w:t/>
      </w:r>
      <w:r>
        <w:rPr>
          <w:rFonts w:ascii="Arial" w:cs="Arial" w:eastAsia="Arial" w:hAnsi="Arial"/>
          <w:sz w:val="15"/>
          <w:szCs w:val="15"/>
          <w:color w:val="auto"/>
        </w:rPr>
        <w:t>HWWYV_PTH[L `</w:t>
      </w:r>
      <w:r>
        <w:rPr>
          <w:rFonts w:ascii="PMingLiU" w:cs="PMingLiU" w:eastAsia="PMingLiU" w:hAnsi="PMingLiU"/>
          <w:sz w:val="15"/>
          <w:szCs w:val="15"/>
          <w:color w:val="auto"/>
        </w:rPr>
        <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$354 million of capital to stockholders through share repurchases.</w:t>
      </w:r>
    </w:p>
    <w:p>
      <w:pPr>
        <w:spacing w:after="0" w:line="62" w:lineRule="exact"/>
        <w:rPr>
          <w:sz w:val="20"/>
          <w:szCs w:val="20"/>
          <w:color w:val="auto"/>
        </w:rPr>
      </w:pPr>
    </w:p>
    <w:p>
      <w:pPr>
        <w:ind w:left="100"/>
        <w:spacing w:after="0" w:line="194" w:lineRule="exact"/>
        <w:rPr>
          <w:sz w:val="20"/>
          <w:szCs w:val="20"/>
          <w:color w:val="auto"/>
        </w:rPr>
      </w:pPr>
      <w:r>
        <w:rPr>
          <w:rFonts w:ascii="PMingLiU" w:cs="PMingLiU" w:eastAsia="PMingLiU" w:hAnsi="PMingLiU"/>
          <w:sz w:val="16"/>
          <w:szCs w:val="16"/>
          <w:color w:val="auto"/>
        </w:rPr>
        <w:t>6</w:t>
      </w:r>
      <w:r>
        <w:rPr>
          <w:rFonts w:ascii="Arial" w:cs="Arial" w:eastAsia="Arial" w:hAnsi="Arial"/>
          <w:sz w:val="16"/>
          <w:szCs w:val="16"/>
          <w:color w:val="auto"/>
        </w:rPr>
        <w:t>\Y</w:t>
      </w:r>
      <w:r>
        <w:rPr>
          <w:rFonts w:ascii="PMingLiU" w:cs="PMingLiU" w:eastAsia="PMingLiU" w:hAnsi="PMingLiU"/>
          <w:sz w:val="16"/>
          <w:szCs w:val="16"/>
          <w:color w:val="auto"/>
        </w:rPr>
        <w:t/>
      </w:r>
      <w:r>
        <w:rPr>
          <w:rFonts w:ascii="Arial" w:cs="Arial" w:eastAsia="Arial" w:hAnsi="Arial"/>
          <w:sz w:val="16"/>
          <w:szCs w:val="16"/>
          <w:color w:val="auto"/>
        </w:rPr>
        <w:t>JHZO</w:t>
      </w:r>
      <w:r>
        <w:rPr>
          <w:rFonts w:ascii="PMingLiU" w:cs="PMingLiU" w:eastAsia="PMingLiU" w:hAnsi="PMingLiU"/>
          <w:sz w:val="16"/>
          <w:szCs w:val="16"/>
          <w:color w:val="auto"/>
        </w:rPr>
        <w:t/>
      </w:r>
      <w:r>
        <w:rPr>
          <w:rFonts w:ascii="Arial" w:cs="Arial" w:eastAsia="Arial" w:hAnsi="Arial"/>
          <w:sz w:val="16"/>
          <w:szCs w:val="16"/>
          <w:color w:val="auto"/>
        </w:rPr>
        <w:t>ÅV^</w:t>
      </w:r>
      <w:r>
        <w:rPr>
          <w:rFonts w:ascii="PMingLiU" w:cs="PMingLiU" w:eastAsia="PMingLiU" w:hAnsi="PMingLiU"/>
          <w:sz w:val="16"/>
          <w:szCs w:val="16"/>
          <w:color w:val="auto"/>
        </w:rPr>
        <w:t/>
      </w:r>
      <w:r>
        <w:rPr>
          <w:rFonts w:ascii="Arial" w:cs="Arial" w:eastAsia="Arial" w:hAnsi="Arial"/>
          <w:sz w:val="16"/>
          <w:szCs w:val="16"/>
          <w:color w:val="auto"/>
        </w:rPr>
        <w:t>WYVÄSL</w:t>
      </w:r>
      <w:r>
        <w:rPr>
          <w:rFonts w:ascii="PMingLiU" w:cs="PMingLiU" w:eastAsia="PMingLiU" w:hAnsi="PMingLiU"/>
          <w:sz w:val="16"/>
          <w:szCs w:val="16"/>
          <w:color w:val="auto"/>
        </w:rPr>
        <w:t/>
      </w:r>
      <w:r>
        <w:rPr>
          <w:rFonts w:ascii="Arial" w:cs="Arial" w:eastAsia="Arial" w:hAnsi="Arial"/>
          <w:sz w:val="16"/>
          <w:szCs w:val="16"/>
          <w:color w:val="auto"/>
        </w:rPr>
        <w:t>JVTIPULK</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Z[YVUN</w:t>
      </w:r>
      <w:r>
        <w:rPr>
          <w:rFonts w:ascii="PMingLiU" w:cs="PMingLiU" w:eastAsia="PMingLiU" w:hAnsi="PMingLiU"/>
          <w:sz w:val="16"/>
          <w:szCs w:val="16"/>
          <w:color w:val="auto"/>
        </w:rPr>
        <w:t/>
      </w:r>
      <w:r>
        <w:rPr>
          <w:rFonts w:ascii="Arial" w:cs="Arial" w:eastAsia="Arial" w:hAnsi="Arial"/>
          <w:sz w:val="16"/>
          <w:szCs w:val="16"/>
          <w:color w:val="auto"/>
        </w:rPr>
        <w:t>IHSHUJL</w:t>
      </w:r>
      <w:r>
        <w:rPr>
          <w:rFonts w:ascii="PMingLiU" w:cs="PMingLiU" w:eastAsia="PMingLiU" w:hAnsi="PMingLiU"/>
          <w:sz w:val="16"/>
          <w:szCs w:val="16"/>
          <w:color w:val="auto"/>
        </w:rPr>
        <w:t/>
      </w:r>
      <w:r>
        <w:rPr>
          <w:rFonts w:ascii="Arial" w:cs="Arial" w:eastAsia="Arial" w:hAnsi="Arial"/>
          <w:sz w:val="16"/>
          <w:szCs w:val="16"/>
          <w:color w:val="auto"/>
        </w:rPr>
        <w:t>ZOLL[</w:t>
      </w:r>
      <w:r>
        <w:rPr>
          <w:rFonts w:ascii="PMingLiU" w:cs="PMingLiU" w:eastAsia="PMingLiU" w:hAnsi="PMingLiU"/>
          <w:sz w:val="16"/>
          <w:szCs w:val="16"/>
          <w:color w:val="auto"/>
        </w:rPr>
        <w:t/>
      </w:r>
    </w:p>
    <w:p>
      <w:pPr>
        <w:spacing w:after="0" w:line="51" w:lineRule="exact"/>
        <w:rPr>
          <w:sz w:val="20"/>
          <w:szCs w:val="20"/>
          <w:color w:val="auto"/>
        </w:rPr>
      </w:pPr>
    </w:p>
    <w:p>
      <w:pPr>
        <w:ind w:left="100"/>
        <w:spacing w:after="0" w:line="227" w:lineRule="exact"/>
        <w:rPr>
          <w:sz w:val="20"/>
          <w:szCs w:val="20"/>
          <w:color w:val="auto"/>
        </w:rPr>
      </w:pPr>
      <w:r>
        <w:rPr>
          <w:rFonts w:ascii="Arial" w:cs="Arial" w:eastAsia="Arial" w:hAnsi="Arial"/>
          <w:sz w:val="13"/>
          <w:szCs w:val="13"/>
          <w:color w:val="auto"/>
        </w:rPr>
        <w:t>WYV]PKLZ</w:t>
      </w:r>
      <w:r>
        <w:rPr>
          <w:rFonts w:ascii="PMingLiU" w:cs="PMingLiU" w:eastAsia="PMingLiU" w:hAnsi="PMingLiU"/>
          <w:sz w:val="13"/>
          <w:szCs w:val="13"/>
          <w:color w:val="auto"/>
        </w:rPr>
        <w:t/>
      </w:r>
      <w:r>
        <w:rPr>
          <w:rFonts w:ascii="Arial" w:cs="Arial" w:eastAsia="Arial" w:hAnsi="Arial"/>
          <w:sz w:val="13"/>
          <w:szCs w:val="13"/>
          <w:color w:val="auto"/>
        </w:rPr>
        <w:t>ÄUHUJPHS</w:t>
      </w:r>
      <w:r>
        <w:rPr>
          <w:rFonts w:ascii="PMingLiU" w:cs="PMingLiU" w:eastAsia="PMingLiU" w:hAnsi="PMingLiU"/>
          <w:sz w:val="13"/>
          <w:szCs w:val="13"/>
          <w:color w:val="auto"/>
        </w:rPr>
        <w:t/>
      </w:r>
      <w:r>
        <w:rPr>
          <w:rFonts w:ascii="Arial" w:cs="Arial" w:eastAsia="Arial" w:hAnsi="Arial"/>
          <w:sz w:val="13"/>
          <w:szCs w:val="13"/>
          <w:color w:val="auto"/>
        </w:rPr>
        <w:t>ÅL_PIPSP[`</w:t>
      </w:r>
      <w:r>
        <w:rPr>
          <w:rFonts w:ascii="PMingLiU" w:cs="PMingLiU" w:eastAsia="PMingLiU" w:hAnsi="PMingLiU"/>
          <w:sz w:val="13"/>
          <w:szCs w:val="13"/>
          <w:color w:val="auto"/>
        </w:rPr>
        <w:t/>
      </w:r>
      <w:r>
        <w:rPr>
          <w:rFonts w:ascii="Arial" w:cs="Arial" w:eastAsia="Arial" w:hAnsi="Arial"/>
          <w:sz w:val="13"/>
          <w:szCs w:val="13"/>
          <w:color w:val="auto"/>
        </w:rPr>
        <w:t>HZ</w:t>
      </w:r>
      <w:r>
        <w:rPr>
          <w:rFonts w:ascii="PMingLiU" w:cs="PMingLiU" w:eastAsia="PMingLiU" w:hAnsi="PMingLiU"/>
          <w:sz w:val="13"/>
          <w:szCs w:val="13"/>
          <w:color w:val="auto"/>
        </w:rPr>
        <w:t/>
      </w:r>
      <w:r>
        <w:rPr>
          <w:rFonts w:ascii="Arial" w:cs="Arial" w:eastAsia="Arial" w:hAnsi="Arial"/>
          <w:sz w:val="13"/>
          <w:szCs w:val="13"/>
          <w:color w:val="auto"/>
        </w:rPr>
        <w:t>^L</w:t>
      </w:r>
      <w:r>
        <w:rPr>
          <w:rFonts w:ascii="PMingLiU" w:cs="PMingLiU" w:eastAsia="PMingLiU" w:hAnsi="PMingLiU"/>
          <w:sz w:val="13"/>
          <w:szCs w:val="13"/>
          <w:color w:val="auto"/>
        </w:rPr>
        <w:t/>
      </w:r>
      <w:r>
        <w:rPr>
          <w:rFonts w:ascii="Arial" w:cs="Arial" w:eastAsia="Arial" w:hAnsi="Arial"/>
          <w:sz w:val="13"/>
          <w:szCs w:val="13"/>
          <w:color w:val="auto"/>
        </w:rPr>
        <w:t>JVU[PU\L</w:t>
      </w:r>
      <w:r>
        <w:rPr>
          <w:rFonts w:ascii="PMingLiU" w:cs="PMingLiU" w:eastAsia="PMingLiU" w:hAnsi="PMingLiU"/>
          <w:sz w:val="13"/>
          <w:szCs w:val="13"/>
          <w:color w:val="auto"/>
        </w:rPr>
        <w:t/>
      </w:r>
      <w:r>
        <w:rPr>
          <w:rFonts w:ascii="Arial" w:cs="Arial" w:eastAsia="Arial" w:hAnsi="Arial"/>
          <w:sz w:val="13"/>
          <w:szCs w:val="13"/>
          <w:color w:val="auto"/>
        </w:rPr>
        <w:t>[V</w:t>
      </w:r>
      <w:r>
        <w:rPr>
          <w:rFonts w:ascii="PMingLiU" w:cs="PMingLiU" w:eastAsia="PMingLiU" w:hAnsi="PMingLiU"/>
          <w:sz w:val="13"/>
          <w:szCs w:val="13"/>
          <w:color w:val="auto"/>
        </w:rPr>
        <w:t/>
      </w:r>
      <w:r>
        <w:rPr>
          <w:rFonts w:ascii="Arial" w:cs="Arial" w:eastAsia="Arial" w:hAnsi="Arial"/>
          <w:sz w:val="13"/>
          <w:szCs w:val="13"/>
          <w:color w:val="auto"/>
        </w:rPr>
        <w:t>L_LJ\[L</w:t>
      </w:r>
      <w:r>
        <w:rPr>
          <w:rFonts w:ascii="PMingLiU" w:cs="PMingLiU" w:eastAsia="PMingLiU" w:hAnsi="PMingLiU"/>
          <w:sz w:val="13"/>
          <w:szCs w:val="13"/>
          <w:color w:val="auto"/>
        </w:rPr>
        <w:t/>
      </w:r>
      <w:r>
        <w:rPr>
          <w:rFonts w:ascii="Arial" w:cs="Arial" w:eastAsia="Arial" w:hAnsi="Arial"/>
          <w:sz w:val="13"/>
          <w:szCs w:val="13"/>
          <w:color w:val="auto"/>
        </w:rPr>
        <w:t>VU</w:t>
      </w:r>
      <w:r>
        <w:rPr>
          <w:rFonts w:ascii="PMingLiU" w:cs="PMingLiU" w:eastAsia="PMingLiU" w:hAnsi="PMingLiU"/>
          <w:sz w:val="13"/>
          <w:szCs w:val="13"/>
          <w:color w:val="auto"/>
        </w:rPr>
        <w:t/>
      </w:r>
      <w:r>
        <w:rPr>
          <w:rFonts w:ascii="Arial" w:cs="Arial" w:eastAsia="Arial" w:hAnsi="Arial"/>
          <w:sz w:val="13"/>
          <w:szCs w:val="13"/>
          <w:color w:val="auto"/>
        </w:rPr>
        <w:t>V\Y</w:t>
      </w:r>
      <w:r>
        <w:rPr>
          <w:rFonts w:ascii="PMingLiU" w:cs="PMingLiU" w:eastAsia="PMingLiU" w:hAnsi="PMingLiU"/>
          <w:sz w:val="13"/>
          <w:szCs w:val="13"/>
          <w:color w:val="auto"/>
        </w:rPr>
        <w:t/>
      </w:r>
      <w:r>
        <w:rPr>
          <w:rFonts w:ascii="Arial" w:cs="Arial" w:eastAsia="Arial" w:hAnsi="Arial"/>
          <w:sz w:val="13"/>
          <w:szCs w:val="13"/>
          <w:color w:val="auto"/>
        </w:rPr>
        <w:t>JHWP[HS</w:t>
      </w:r>
      <w:r>
        <w:rPr>
          <w:rFonts w:ascii="PMingLiU" w:cs="PMingLiU" w:eastAsia="PMingLiU" w:hAnsi="PMingLiU"/>
          <w:sz w:val="13"/>
          <w:szCs w:val="13"/>
          <w:color w:val="auto"/>
        </w:rPr>
        <w:t/>
      </w:r>
      <w:r>
        <w:rPr>
          <w:rFonts w:ascii="Arial" w:cs="Arial" w:eastAsia="Arial" w:hAnsi="Arial"/>
          <w:sz w:val="13"/>
          <w:szCs w:val="13"/>
          <w:color w:val="auto"/>
        </w:rPr>
        <w:t xml:space="preserve"> allocation priorities. The record performance achieved in 2025 positions Kirby well as we navigate evolving market conditions and execute our strategy for long-term value creation.</w:t>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1E58"/>
        </w:rPr>
        <w:t>MARINE TRANSPORTATION</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KMT delivered steady inland marine results in 2025, though</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erformance varied over the course of the year. Inland revenues</w:t>
      </w:r>
    </w:p>
    <w:p>
      <w:pPr>
        <w:spacing w:after="0" w:line="56" w:lineRule="exact"/>
        <w:rPr>
          <w:sz w:val="20"/>
          <w:szCs w:val="20"/>
          <w:color w:val="auto"/>
        </w:rPr>
      </w:pPr>
    </w:p>
    <w:p>
      <w:pPr>
        <w:ind w:left="100" w:right="240"/>
        <w:spacing w:after="0" w:line="228" w:lineRule="exact"/>
        <w:rPr>
          <w:sz w:val="20"/>
          <w:szCs w:val="20"/>
          <w:color w:val="auto"/>
        </w:rPr>
      </w:pPr>
      <w:r>
        <w:rPr>
          <w:rFonts w:ascii="Arial" w:cs="Arial" w:eastAsia="Arial" w:hAnsi="Arial"/>
          <w:sz w:val="13"/>
          <w:szCs w:val="13"/>
          <w:color w:val="auto"/>
        </w:rPr>
        <w:t>^LYL</w:t>
      </w:r>
      <w:r>
        <w:rPr>
          <w:rFonts w:ascii="PMingLiU" w:cs="PMingLiU" w:eastAsia="PMingLiU" w:hAnsi="PMingLiU"/>
          <w:sz w:val="13"/>
          <w:szCs w:val="13"/>
          <w:color w:val="auto"/>
        </w:rPr>
        <w:t/>
      </w:r>
      <w:r>
        <w:rPr>
          <w:rFonts w:ascii="Arial" w:cs="Arial" w:eastAsia="Arial" w:hAnsi="Arial"/>
          <w:sz w:val="13"/>
          <w:szCs w:val="13"/>
          <w:color w:val="auto"/>
        </w:rPr>
        <w:t>LZZLU[PHSS`</w:t>
      </w:r>
      <w:r>
        <w:rPr>
          <w:rFonts w:ascii="PMingLiU" w:cs="PMingLiU" w:eastAsia="PMingLiU" w:hAnsi="PMingLiU"/>
          <w:sz w:val="13"/>
          <w:szCs w:val="13"/>
          <w:color w:val="auto"/>
        </w:rPr>
        <w:t/>
      </w:r>
      <w:r>
        <w:rPr>
          <w:rFonts w:ascii="Arial" w:cs="Arial" w:eastAsia="Arial" w:hAnsi="Arial"/>
          <w:sz w:val="13"/>
          <w:szCs w:val="13"/>
          <w:color w:val="auto"/>
        </w:rPr>
        <w:t>ÅH[</w:t>
      </w:r>
      <w:r>
        <w:rPr>
          <w:rFonts w:ascii="PMingLiU" w:cs="PMingLiU" w:eastAsia="PMingLiU" w:hAnsi="PMingLiU"/>
          <w:sz w:val="13"/>
          <w:szCs w:val="13"/>
          <w:color w:val="auto"/>
        </w:rPr>
        <w:t/>
      </w:r>
      <w:r>
        <w:rPr>
          <w:rFonts w:ascii="Arial" w:cs="Arial" w:eastAsia="Arial" w:hAnsi="Arial"/>
          <w:sz w:val="13"/>
          <w:szCs w:val="13"/>
          <w:color w:val="auto"/>
        </w:rPr>
        <w:t>`LHY</w:t>
      </w:r>
      <w:r>
        <w:rPr>
          <w:rFonts w:ascii="PMingLiU" w:cs="PMingLiU" w:eastAsia="PMingLiU" w:hAnsi="PMingLiU"/>
          <w:sz w:val="13"/>
          <w:szCs w:val="13"/>
          <w:color w:val="auto"/>
        </w:rPr>
        <w:t/>
      </w:r>
      <w:r>
        <w:rPr>
          <w:rFonts w:ascii="Arial" w:cs="Arial" w:eastAsia="Arial" w:hAnsi="Arial"/>
          <w:sz w:val="13"/>
          <w:szCs w:val="13"/>
          <w:color w:val="auto"/>
        </w:rPr>
        <w:t>V]LY</w:t>
      </w:r>
      <w:r>
        <w:rPr>
          <w:rFonts w:ascii="PMingLiU" w:cs="PMingLiU" w:eastAsia="PMingLiU" w:hAnsi="PMingLiU"/>
          <w:sz w:val="13"/>
          <w:szCs w:val="13"/>
          <w:color w:val="auto"/>
        </w:rPr>
        <w:t/>
      </w:r>
      <w:r>
        <w:rPr>
          <w:rFonts w:ascii="Arial" w:cs="Arial" w:eastAsia="Arial" w:hAnsi="Arial"/>
          <w:sz w:val="13"/>
          <w:szCs w:val="13"/>
          <w:color w:val="auto"/>
        </w:rPr>
        <w:t>`LHY</w:t>
      </w:r>
      <w:r>
        <w:rPr>
          <w:rFonts w:ascii="PMingLiU" w:cs="PMingLiU" w:eastAsia="PMingLiU" w:hAnsi="PMingLiU"/>
          <w:sz w:val="13"/>
          <w:szCs w:val="13"/>
          <w:color w:val="auto"/>
        </w:rPr>
        <w:t/>
      </w:r>
      <w:r>
        <w:rPr>
          <w:rFonts w:ascii="Arial" w:cs="Arial" w:eastAsia="Arial" w:hAnsi="Arial"/>
          <w:sz w:val="13"/>
          <w:szCs w:val="13"/>
          <w:color w:val="auto"/>
        </w:rPr>
        <w:t>YLÅLJ[PUN</w:t>
      </w:r>
      <w:r>
        <w:rPr>
          <w:rFonts w:ascii="PMingLiU" w:cs="PMingLiU" w:eastAsia="PMingLiU" w:hAnsi="PMingLiU"/>
          <w:sz w:val="13"/>
          <w:szCs w:val="13"/>
          <w:color w:val="auto"/>
        </w:rPr>
        <w:t/>
      </w:r>
      <w:r>
        <w:rPr>
          <w:rFonts w:ascii="Arial" w:cs="Arial" w:eastAsia="Arial" w:hAnsi="Arial"/>
          <w:sz w:val="13"/>
          <w:szCs w:val="13"/>
          <w:color w:val="auto"/>
        </w:rPr>
        <w:t>Z[YVUN</w:t>
      </w:r>
      <w:r>
        <w:rPr>
          <w:rFonts w:ascii="PMingLiU" w:cs="PMingLiU" w:eastAsia="PMingLiU" w:hAnsi="PMingLiU"/>
          <w:sz w:val="13"/>
          <w:szCs w:val="13"/>
          <w:color w:val="auto"/>
        </w:rPr>
        <w:t/>
      </w:r>
      <w:r>
        <w:rPr>
          <w:rFonts w:ascii="Arial" w:cs="Arial" w:eastAsia="Arial" w:hAnsi="Arial"/>
          <w:sz w:val="13"/>
          <w:szCs w:val="13"/>
          <w:color w:val="auto"/>
        </w:rPr>
        <w:t>L_LJ\[PVU</w:t>
      </w:r>
      <w:r>
        <w:rPr>
          <w:rFonts w:ascii="PMingLiU" w:cs="PMingLiU" w:eastAsia="PMingLiU" w:hAnsi="PMingLiU"/>
          <w:sz w:val="13"/>
          <w:szCs w:val="13"/>
          <w:color w:val="auto"/>
        </w:rPr>
        <w:t/>
      </w:r>
      <w:r>
        <w:rPr>
          <w:rFonts w:ascii="Arial" w:cs="Arial" w:eastAsia="Arial" w:hAnsi="Arial"/>
          <w:sz w:val="13"/>
          <w:szCs w:val="13"/>
          <w:color w:val="auto"/>
        </w:rPr>
        <w:t>PU [OL</w:t>
      </w:r>
      <w:r>
        <w:rPr>
          <w:rFonts w:ascii="PMingLiU" w:cs="PMingLiU" w:eastAsia="PMingLiU" w:hAnsi="PMingLiU"/>
          <w:sz w:val="13"/>
          <w:szCs w:val="13"/>
          <w:color w:val="auto"/>
        </w:rPr>
        <w:t/>
      </w:r>
      <w:r>
        <w:rPr>
          <w:rFonts w:ascii="Arial" w:cs="Arial" w:eastAsia="Arial" w:hAnsi="Arial"/>
          <w:sz w:val="13"/>
          <w:szCs w:val="13"/>
          <w:color w:val="auto"/>
        </w:rPr>
        <w:t>ÄYZ[</w:t>
      </w:r>
      <w:r>
        <w:rPr>
          <w:rFonts w:ascii="PMingLiU" w:cs="PMingLiU" w:eastAsia="PMingLiU" w:hAnsi="PMingLiU"/>
          <w:sz w:val="13"/>
          <w:szCs w:val="13"/>
          <w:color w:val="auto"/>
        </w:rPr>
        <w:t/>
      </w:r>
      <w:r>
        <w:rPr>
          <w:rFonts w:ascii="Arial" w:cs="Arial" w:eastAsia="Arial" w:hAnsi="Arial"/>
          <w:sz w:val="13"/>
          <w:szCs w:val="13"/>
          <w:color w:val="auto"/>
        </w:rPr>
        <w:t>OHSM</w:t>
      </w:r>
      <w:r>
        <w:rPr>
          <w:rFonts w:ascii="PMingLiU" w:cs="PMingLiU" w:eastAsia="PMingLiU" w:hAnsi="PMingLiU"/>
          <w:sz w:val="13"/>
          <w:szCs w:val="13"/>
          <w:color w:val="auto"/>
        </w:rPr>
        <w:t/>
      </w:r>
      <w:r>
        <w:rPr>
          <w:rFonts w:ascii="Arial" w:cs="Arial" w:eastAsia="Arial" w:hAnsi="Arial"/>
          <w:sz w:val="13"/>
          <w:szCs w:val="13"/>
          <w:color w:val="auto"/>
        </w:rPr>
        <w:t>V</w:t>
      </w:r>
      <w:r>
        <w:rPr>
          <w:rFonts w:ascii="Arial" w:cs="Arial" w:eastAsia="Arial" w:hAnsi="Arial"/>
          <w:sz w:val="13"/>
          <w:szCs w:val="13"/>
          <w:color w:val="auto"/>
        </w:rPr>
        <w:t>ќ</w:t>
      </w:r>
      <w:r>
        <w:rPr>
          <w:rFonts w:ascii="Arial" w:cs="Arial" w:eastAsia="Arial" w:hAnsi="Arial"/>
          <w:sz w:val="13"/>
          <w:szCs w:val="13"/>
          <w:color w:val="auto"/>
        </w:rPr>
        <w:t>ZL[</w:t>
      </w:r>
      <w:r>
        <w:rPr>
          <w:rFonts w:ascii="PMingLiU" w:cs="PMingLiU" w:eastAsia="PMingLiU" w:hAnsi="PMingLiU"/>
          <w:sz w:val="13"/>
          <w:szCs w:val="13"/>
          <w:color w:val="auto"/>
        </w:rPr>
        <w:t/>
      </w:r>
      <w:r>
        <w:rPr>
          <w:rFonts w:ascii="Arial" w:cs="Arial" w:eastAsia="Arial" w:hAnsi="Arial"/>
          <w:sz w:val="13"/>
          <w:szCs w:val="13"/>
          <w:color w:val="auto"/>
        </w:rPr>
        <w:t>I`</w:t>
      </w:r>
      <w:r>
        <w:rPr>
          <w:rFonts w:ascii="PMingLiU" w:cs="PMingLiU" w:eastAsia="PMingLiU" w:hAnsi="PMingLiU"/>
          <w:sz w:val="13"/>
          <w:szCs w:val="13"/>
          <w:color w:val="auto"/>
        </w:rPr>
        <w:t/>
      </w:r>
      <w:r>
        <w:rPr>
          <w:rFonts w:ascii="Arial" w:cs="Arial" w:eastAsia="Arial" w:hAnsi="Arial"/>
          <w:sz w:val="13"/>
          <w:szCs w:val="13"/>
          <w:color w:val="auto"/>
        </w:rPr>
        <w:t>ZVM[LY</w:t>
      </w:r>
      <w:r>
        <w:rPr>
          <w:rFonts w:ascii="PMingLiU" w:cs="PMingLiU" w:eastAsia="PMingLiU" w:hAnsi="PMingLiU"/>
          <w:sz w:val="13"/>
          <w:szCs w:val="13"/>
          <w:color w:val="auto"/>
        </w:rPr>
        <w:t/>
      </w:r>
      <w:r>
        <w:rPr>
          <w:rFonts w:ascii="Arial" w:cs="Arial" w:eastAsia="Arial" w:hAnsi="Arial"/>
          <w:sz w:val="13"/>
          <w:szCs w:val="13"/>
          <w:color w:val="auto"/>
        </w:rPr>
        <w:t>THYRL[</w:t>
      </w:r>
      <w:r>
        <w:rPr>
          <w:rFonts w:ascii="PMingLiU" w:cs="PMingLiU" w:eastAsia="PMingLiU" w:hAnsi="PMingLiU"/>
          <w:sz w:val="13"/>
          <w:szCs w:val="13"/>
          <w:color w:val="auto"/>
        </w:rPr>
        <w:t/>
      </w:r>
      <w:r>
        <w:rPr>
          <w:rFonts w:ascii="Arial" w:cs="Arial" w:eastAsia="Arial" w:hAnsi="Arial"/>
          <w:sz w:val="13"/>
          <w:szCs w:val="13"/>
          <w:color w:val="auto"/>
        </w:rPr>
        <w:t>JVUKP[PVUZ</w:t>
      </w:r>
      <w:r>
        <w:rPr>
          <w:rFonts w:ascii="PMingLiU" w:cs="PMingLiU" w:eastAsia="PMingLiU" w:hAnsi="PMingLiU"/>
          <w:sz w:val="13"/>
          <w:szCs w:val="13"/>
          <w:color w:val="auto"/>
        </w:rPr>
        <w:t/>
      </w:r>
      <w:r>
        <w:rPr>
          <w:rFonts w:ascii="Arial" w:cs="Arial" w:eastAsia="Arial" w:hAnsi="Arial"/>
          <w:sz w:val="13"/>
          <w:szCs w:val="13"/>
          <w:color w:val="auto"/>
        </w:rPr>
        <w:t>PU</w:t>
      </w:r>
      <w:r>
        <w:rPr>
          <w:rFonts w:ascii="PMingLiU" w:cs="PMingLiU" w:eastAsia="PMingLiU" w:hAnsi="PMingLiU"/>
          <w:sz w:val="13"/>
          <w:szCs w:val="13"/>
          <w:color w:val="auto"/>
        </w:rPr>
        <w:t/>
      </w:r>
      <w:r>
        <w:rPr>
          <w:rFonts w:ascii="Arial" w:cs="Arial" w:eastAsia="Arial" w:hAnsi="Arial"/>
          <w:sz w:val="13"/>
          <w:szCs w:val="13"/>
          <w:color w:val="auto"/>
        </w:rPr>
        <w:t>[OL</w:t>
      </w:r>
      <w:r>
        <w:rPr>
          <w:rFonts w:ascii="PMingLiU" w:cs="PMingLiU" w:eastAsia="PMingLiU" w:hAnsi="PMingLiU"/>
          <w:sz w:val="13"/>
          <w:szCs w:val="13"/>
          <w:color w:val="auto"/>
        </w:rPr>
        <w:t/>
      </w:r>
      <w:r>
        <w:rPr>
          <w:rFonts w:ascii="Arial" w:cs="Arial" w:eastAsia="Arial" w:hAnsi="Arial"/>
          <w:sz w:val="13"/>
          <w:szCs w:val="13"/>
          <w:color w:val="auto"/>
        </w:rPr>
        <w:t>ZLJVUK</w:t>
      </w:r>
      <w:r>
        <w:rPr>
          <w:rFonts w:ascii="PMingLiU" w:cs="PMingLiU" w:eastAsia="PMingLiU" w:hAnsi="PMingLiU"/>
          <w:sz w:val="13"/>
          <w:szCs w:val="13"/>
          <w:color w:val="auto"/>
        </w:rPr>
        <w:t/>
      </w:r>
      <w:r>
        <w:rPr>
          <w:rFonts w:ascii="Arial" w:cs="Arial" w:eastAsia="Arial" w:hAnsi="Arial"/>
          <w:sz w:val="13"/>
          <w:szCs w:val="13"/>
          <w:color w:val="auto"/>
        </w:rPr>
        <w:t>OHSM</w:t>
      </w:r>
      <w:r>
        <w:rPr>
          <w:rFonts w:ascii="PMingLiU" w:cs="PMingLiU" w:eastAsia="PMingLiU" w:hAnsi="PMingLiU"/>
          <w:sz w:val="13"/>
          <w:szCs w:val="13"/>
          <w:color w:val="auto"/>
        </w:rPr>
        <w:t/>
      </w:r>
      <w:r>
        <w:rPr>
          <w:rFonts w:ascii="Arial" w:cs="Arial" w:eastAsia="Arial" w:hAnsi="Arial"/>
          <w:sz w:val="13"/>
          <w:szCs w:val="13"/>
          <w:color w:val="auto"/>
        </w:rPr>
        <w:t xml:space="preserve"> of the year. The inland business was impacted by typical winter weather, including periods of high winds, fog, and lock delays,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which increased delay days and challenged operations in the early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part of the year. Despite these headwinds, demand remained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steady, utilization stayed in the low-to-mid-90% range, pricing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improved, and the business delivered margins around 20% in</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ÄYZ[</w:t>
      </w:r>
      <w:r>
        <w:rPr>
          <w:rFonts w:ascii="PMingLiU" w:cs="PMingLiU" w:eastAsia="PMingLiU" w:hAnsi="PMingLiU"/>
          <w:sz w:val="15"/>
          <w:szCs w:val="15"/>
          <w:color w:val="auto"/>
        </w:rPr>
        <w:t/>
      </w:r>
      <w:r>
        <w:rPr>
          <w:rFonts w:ascii="Arial" w:cs="Arial" w:eastAsia="Arial" w:hAnsi="Arial"/>
          <w:sz w:val="15"/>
          <w:szCs w:val="15"/>
          <w:color w:val="auto"/>
        </w:rPr>
        <w:t>X\HY[LY</w:t>
      </w:r>
      <w:r>
        <w:rPr>
          <w:rFonts w:ascii="PMingLiU" w:cs="PMingLiU" w:eastAsia="PMingLiU" w:hAnsi="PMingLiU"/>
          <w:sz w:val="15"/>
          <w:szCs w:val="15"/>
          <w:color w:val="auto"/>
        </w:rPr>
        <w:t/>
      </w:r>
      <w:r>
        <w:rPr>
          <w:rFonts w:ascii="Arial" w:cs="Arial" w:eastAsia="Arial" w:hAnsi="Arial"/>
          <w:sz w:val="15"/>
          <w:szCs w:val="15"/>
          <w:color w:val="auto"/>
        </w:rPr>
        <w:t>(Z</w:t>
      </w:r>
      <w:r>
        <w:rPr>
          <w:rFonts w:ascii="PMingLiU" w:cs="PMingLiU" w:eastAsia="PMingLiU" w:hAnsi="PMingLiU"/>
          <w:sz w:val="15"/>
          <w:szCs w:val="15"/>
          <w:color w:val="auto"/>
        </w:rPr>
        <w:t/>
      </w:r>
      <w:r>
        <w:rPr>
          <w:rFonts w:ascii="Arial" w:cs="Arial" w:eastAsia="Arial" w:hAnsi="Arial"/>
          <w:sz w:val="15"/>
          <w:szCs w:val="15"/>
          <w:color w:val="auto"/>
        </w:rPr>
        <w:t>^LH[OLY</w:t>
      </w:r>
      <w:r>
        <w:rPr>
          <w:rFonts w:ascii="PMingLiU" w:cs="PMingLiU" w:eastAsia="PMingLiU" w:hAnsi="PMingLiU"/>
          <w:sz w:val="15"/>
          <w:szCs w:val="15"/>
          <w:color w:val="auto"/>
        </w:rPr>
        <w:t/>
      </w:r>
      <w:r>
        <w:rPr>
          <w:rFonts w:ascii="Arial" w:cs="Arial" w:eastAsia="Arial" w:hAnsi="Arial"/>
          <w:sz w:val="15"/>
          <w:szCs w:val="15"/>
          <w:color w:val="auto"/>
        </w:rPr>
        <w:t>JVUKP[PVUZ</w:t>
      </w:r>
      <w:r>
        <w:rPr>
          <w:rFonts w:ascii="PMingLiU" w:cs="PMingLiU" w:eastAsia="PMingLiU" w:hAnsi="PMingLiU"/>
          <w:sz w:val="15"/>
          <w:szCs w:val="15"/>
          <w:color w:val="auto"/>
        </w:rPr>
        <w:t/>
      </w:r>
      <w:r>
        <w:rPr>
          <w:rFonts w:ascii="Arial" w:cs="Arial" w:eastAsia="Arial" w:hAnsi="Arial"/>
          <w:sz w:val="15"/>
          <w:szCs w:val="15"/>
          <w:color w:val="auto"/>
        </w:rPr>
        <w:t>PTWYV]LK</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ZLJVUK</w:t>
      </w:r>
    </w:p>
    <w:p>
      <w:pPr>
        <w:spacing w:after="0" w:line="58" w:lineRule="exact"/>
        <w:rPr>
          <w:sz w:val="20"/>
          <w:szCs w:val="20"/>
          <w:color w:val="auto"/>
        </w:rPr>
      </w:pPr>
    </w:p>
    <w:p>
      <w:pPr>
        <w:ind w:left="20"/>
        <w:spacing w:after="0" w:line="182" w:lineRule="exact"/>
        <w:rPr>
          <w:sz w:val="20"/>
          <w:szCs w:val="20"/>
          <w:color w:val="auto"/>
        </w:rPr>
      </w:pPr>
      <w:r>
        <w:rPr>
          <w:rFonts w:ascii="Arial" w:cs="Arial" w:eastAsia="Arial" w:hAnsi="Arial"/>
          <w:sz w:val="15"/>
          <w:szCs w:val="15"/>
          <w:color w:val="auto"/>
        </w:rPr>
        <w:t>X\HY[LY</w:t>
      </w:r>
      <w:r>
        <w:rPr>
          <w:rFonts w:ascii="PMingLiU" w:cs="PMingLiU" w:eastAsia="PMingLiU" w:hAnsi="PMingLiU"/>
          <w:sz w:val="15"/>
          <w:szCs w:val="15"/>
          <w:color w:val="auto"/>
        </w:rPr>
        <w:t/>
      </w:r>
      <w:r>
        <w:rPr>
          <w:rFonts w:ascii="Arial" w:cs="Arial" w:eastAsia="Arial" w:hAnsi="Arial"/>
          <w:sz w:val="15"/>
          <w:szCs w:val="15"/>
          <w:color w:val="auto"/>
        </w:rPr>
        <w:t>J\Z[VTLY</w:t>
      </w:r>
      <w:r>
        <w:rPr>
          <w:rFonts w:ascii="PMingLiU" w:cs="PMingLiU" w:eastAsia="PMingLiU" w:hAnsi="PMingLiU"/>
          <w:sz w:val="15"/>
          <w:szCs w:val="15"/>
          <w:color w:val="auto"/>
        </w:rPr>
        <w:t/>
      </w:r>
      <w:r>
        <w:rPr>
          <w:rFonts w:ascii="Arial" w:cs="Arial" w:eastAsia="Arial" w:hAnsi="Arial"/>
          <w:sz w:val="15"/>
          <w:szCs w:val="15"/>
          <w:color w:val="auto"/>
        </w:rPr>
        <w:t>KLTHUK</w:t>
      </w:r>
      <w:r>
        <w:rPr>
          <w:rFonts w:ascii="PMingLiU" w:cs="PMingLiU" w:eastAsia="PMingLiU" w:hAnsi="PMingLiU"/>
          <w:sz w:val="15"/>
          <w:szCs w:val="15"/>
          <w:color w:val="auto"/>
        </w:rPr>
        <w:t/>
      </w:r>
      <w:r>
        <w:rPr>
          <w:rFonts w:ascii="Arial" w:cs="Arial" w:eastAsia="Arial" w:hAnsi="Arial"/>
          <w:sz w:val="15"/>
          <w:szCs w:val="15"/>
          <w:color w:val="auto"/>
        </w:rPr>
        <w:t>YLTHPULK</w:t>
      </w:r>
      <w:r>
        <w:rPr>
          <w:rFonts w:ascii="PMingLiU" w:cs="PMingLiU" w:eastAsia="PMingLiU" w:hAnsi="PMingLiU"/>
          <w:sz w:val="15"/>
          <w:szCs w:val="15"/>
          <w:color w:val="auto"/>
        </w:rPr>
        <w:t/>
      </w:r>
      <w:r>
        <w:rPr>
          <w:rFonts w:ascii="Arial" w:cs="Arial" w:eastAsia="Arial" w:hAnsi="Arial"/>
          <w:sz w:val="15"/>
          <w:szCs w:val="15"/>
          <w:color w:val="auto"/>
        </w:rPr>
        <w:t>OLHS[O`</w:t>
      </w:r>
      <w:r>
        <w:rPr>
          <w:rFonts w:ascii="PMingLiU" w:cs="PMingLiU" w:eastAsia="PMingLiU" w:hAnsi="PMingLiU"/>
          <w:sz w:val="15"/>
          <w:szCs w:val="15"/>
          <w:color w:val="auto"/>
        </w:rPr>
        <w:t/>
      </w:r>
      <w:r>
        <w:rPr>
          <w:rFonts w:ascii="Arial" w:cs="Arial" w:eastAsia="Arial" w:hAnsi="Arial"/>
          <w:sz w:val="15"/>
          <w:szCs w:val="15"/>
          <w:color w:val="auto"/>
        </w:rPr>
        <w:t>\[PSPaH[PVU</w:t>
      </w:r>
      <w:r>
        <w:rPr>
          <w:rFonts w:ascii="PMingLiU" w:cs="PMingLiU" w:eastAsia="PMingLiU" w:hAnsi="PMingLiU"/>
          <w:sz w:val="15"/>
          <w:szCs w:val="15"/>
          <w:color w:val="auto"/>
        </w:rPr>
        <w:t/>
      </w:r>
      <w:r>
        <w:rPr>
          <w:rFonts w:ascii="Arial" w:cs="Arial" w:eastAsia="Arial" w:hAnsi="Arial"/>
          <w:sz w:val="15"/>
          <w:szCs w:val="15"/>
          <w:color w:val="auto"/>
        </w:rPr>
        <w:t>Z[H`LK</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strong, and pricing continued to improve. These factors drove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inland operating margins into the low-20% range. In the third</w:t>
      </w:r>
    </w:p>
    <w:p>
      <w:pPr>
        <w:spacing w:after="0" w:line="56" w:lineRule="exact"/>
        <w:rPr>
          <w:sz w:val="20"/>
          <w:szCs w:val="20"/>
          <w:color w:val="auto"/>
        </w:rPr>
      </w:pPr>
    </w:p>
    <w:p>
      <w:pPr>
        <w:ind w:left="20"/>
        <w:spacing w:after="0" w:line="158" w:lineRule="exact"/>
        <w:rPr>
          <w:sz w:val="20"/>
          <w:szCs w:val="20"/>
          <w:color w:val="auto"/>
        </w:rPr>
      </w:pPr>
      <w:r>
        <w:rPr>
          <w:rFonts w:ascii="Arial" w:cs="Arial" w:eastAsia="Arial" w:hAnsi="Arial"/>
          <w:sz w:val="13"/>
          <w:szCs w:val="13"/>
          <w:color w:val="auto"/>
        </w:rPr>
        <w:t>X\HY[LY</w:t>
      </w:r>
      <w:r>
        <w:rPr>
          <w:rFonts w:ascii="PMingLiU" w:cs="PMingLiU" w:eastAsia="PMingLiU" w:hAnsi="PMingLiU"/>
          <w:sz w:val="13"/>
          <w:szCs w:val="13"/>
          <w:color w:val="auto"/>
        </w:rPr>
        <w:t/>
      </w:r>
      <w:r>
        <w:rPr>
          <w:rFonts w:ascii="Arial" w:cs="Arial" w:eastAsia="Arial" w:hAnsi="Arial"/>
          <w:sz w:val="13"/>
          <w:szCs w:val="13"/>
          <w:color w:val="auto"/>
        </w:rPr>
        <w:t>PUSHUK</w:t>
      </w:r>
      <w:r>
        <w:rPr>
          <w:rFonts w:ascii="PMingLiU" w:cs="PMingLiU" w:eastAsia="PMingLiU" w:hAnsi="PMingLiU"/>
          <w:sz w:val="13"/>
          <w:szCs w:val="13"/>
          <w:color w:val="auto"/>
        </w:rPr>
        <w:t/>
      </w:r>
      <w:r>
        <w:rPr>
          <w:rFonts w:ascii="Arial" w:cs="Arial" w:eastAsia="Arial" w:hAnsi="Arial"/>
          <w:sz w:val="13"/>
          <w:szCs w:val="13"/>
          <w:color w:val="auto"/>
        </w:rPr>
        <w:t>THYPUL</w:t>
      </w:r>
      <w:r>
        <w:rPr>
          <w:rFonts w:ascii="PMingLiU" w:cs="PMingLiU" w:eastAsia="PMingLiU" w:hAnsi="PMingLiU"/>
          <w:sz w:val="13"/>
          <w:szCs w:val="13"/>
          <w:color w:val="auto"/>
        </w:rPr>
        <w:t/>
      </w:r>
      <w:r>
        <w:rPr>
          <w:rFonts w:ascii="Arial" w:cs="Arial" w:eastAsia="Arial" w:hAnsi="Arial"/>
          <w:sz w:val="13"/>
          <w:szCs w:val="13"/>
          <w:color w:val="auto"/>
        </w:rPr>
        <w:t>JVUKP[PVUZ</w:t>
      </w:r>
      <w:r>
        <w:rPr>
          <w:rFonts w:ascii="PMingLiU" w:cs="PMingLiU" w:eastAsia="PMingLiU" w:hAnsi="PMingLiU"/>
          <w:sz w:val="13"/>
          <w:szCs w:val="13"/>
          <w:color w:val="auto"/>
        </w:rPr>
        <w:t/>
      </w:r>
      <w:r>
        <w:rPr>
          <w:rFonts w:ascii="Arial" w:cs="Arial" w:eastAsia="Arial" w:hAnsi="Arial"/>
          <w:sz w:val="13"/>
          <w:szCs w:val="13"/>
          <w:color w:val="auto"/>
        </w:rPr>
        <w:t>L_WLYPLUJLK</w:t>
      </w:r>
      <w:r>
        <w:rPr>
          <w:rFonts w:ascii="PMingLiU" w:cs="PMingLiU" w:eastAsia="PMingLiU" w:hAnsi="PMingLiU"/>
          <w:sz w:val="13"/>
          <w:szCs w:val="13"/>
          <w:color w:val="auto"/>
        </w:rPr>
        <w:t/>
      </w:r>
      <w:r>
        <w:rPr>
          <w:rFonts w:ascii="Arial" w:cs="Arial" w:eastAsia="Arial" w:hAnsi="Arial"/>
          <w:sz w:val="13"/>
          <w:szCs w:val="13"/>
          <w:color w:val="auto"/>
        </w:rPr>
        <w:t>ULHY</w:t>
      </w:r>
      <w:r>
        <w:rPr>
          <w:rFonts w:ascii="PMingLiU" w:cs="PMingLiU" w:eastAsia="PMingLiU" w:hAnsi="PMingLiU"/>
          <w:sz w:val="13"/>
          <w:szCs w:val="13"/>
          <w:color w:val="auto"/>
        </w:rPr>
        <w:t/>
      </w:r>
      <w:r>
        <w:rPr>
          <w:rFonts w:ascii="Arial" w:cs="Arial" w:eastAsia="Arial" w:hAnsi="Arial"/>
          <w:sz w:val="13"/>
          <w:szCs w:val="13"/>
          <w:color w:val="auto"/>
        </w:rPr>
        <w:t>[LYT</w:t>
      </w:r>
      <w:r>
        <w:rPr>
          <w:rFonts w:ascii="PMingLiU" w:cs="PMingLiU" w:eastAsia="PMingLiU" w:hAnsi="PMingLiU"/>
          <w:sz w:val="13"/>
          <w:szCs w:val="13"/>
          <w:color w:val="auto"/>
        </w:rPr>
        <w:t/>
      </w:r>
      <w:r>
        <w:rPr>
          <w:rFonts w:ascii="Arial" w:cs="Arial" w:eastAsia="Arial" w:hAnsi="Arial"/>
          <w:sz w:val="13"/>
          <w:szCs w:val="13"/>
          <w:color w:val="auto"/>
        </w:rPr>
        <w:t>ZVM[ULZZ</w:t>
      </w:r>
      <w:r>
        <w:rPr>
          <w:rFonts w:ascii="PMingLiU" w:cs="PMingLiU" w:eastAsia="PMingLiU" w:hAnsi="PMingLiU"/>
          <w:sz w:val="13"/>
          <w:szCs w:val="13"/>
          <w:color w:val="auto"/>
        </w:rPr>
        <w:t/>
      </w:r>
    </w:p>
    <w:p>
      <w:pPr>
        <w:spacing w:after="0" w:line="82"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HZ</w:t>
      </w:r>
      <w:r>
        <w:rPr>
          <w:rFonts w:ascii="PMingLiU" w:cs="PMingLiU" w:eastAsia="PMingLiU" w:hAnsi="PMingLiU"/>
          <w:sz w:val="13"/>
          <w:szCs w:val="13"/>
          <w:color w:val="auto"/>
        </w:rPr>
        <w:t/>
      </w:r>
      <w:r>
        <w:rPr>
          <w:rFonts w:ascii="Arial" w:cs="Arial" w:eastAsia="Arial" w:hAnsi="Arial"/>
          <w:sz w:val="13"/>
          <w:szCs w:val="13"/>
          <w:color w:val="auto"/>
        </w:rPr>
        <w:t>TVKLYH[PUN</w:t>
      </w:r>
      <w:r>
        <w:rPr>
          <w:rFonts w:ascii="PMingLiU" w:cs="PMingLiU" w:eastAsia="PMingLiU" w:hAnsi="PMingLiU"/>
          <w:sz w:val="13"/>
          <w:szCs w:val="13"/>
          <w:color w:val="auto"/>
        </w:rPr>
        <w:t/>
      </w:r>
      <w:r>
        <w:rPr>
          <w:rFonts w:ascii="Arial" w:cs="Arial" w:eastAsia="Arial" w:hAnsi="Arial"/>
          <w:sz w:val="13"/>
          <w:szCs w:val="13"/>
          <w:color w:val="auto"/>
        </w:rPr>
        <w:t>YLÄULY`</w:t>
      </w:r>
      <w:r>
        <w:rPr>
          <w:rFonts w:ascii="PMingLiU" w:cs="PMingLiU" w:eastAsia="PMingLiU" w:hAnsi="PMingLiU"/>
          <w:sz w:val="13"/>
          <w:szCs w:val="13"/>
          <w:color w:val="auto"/>
        </w:rPr>
        <w:t/>
      </w:r>
      <w:r>
        <w:rPr>
          <w:rFonts w:ascii="Arial" w:cs="Arial" w:eastAsia="Arial" w:hAnsi="Arial"/>
          <w:sz w:val="13"/>
          <w:szCs w:val="13"/>
          <w:color w:val="auto"/>
        </w:rPr>
        <w:t>KLTHUK</w:t>
      </w:r>
      <w:r>
        <w:rPr>
          <w:rFonts w:ascii="PMingLiU" w:cs="PMingLiU" w:eastAsia="PMingLiU" w:hAnsi="PMingLiU"/>
          <w:sz w:val="13"/>
          <w:szCs w:val="13"/>
          <w:color w:val="auto"/>
        </w:rPr>
        <w:t/>
      </w:r>
      <w:r>
        <w:rPr>
          <w:rFonts w:ascii="Arial" w:cs="Arial" w:eastAsia="Arial" w:hAnsi="Arial"/>
          <w:sz w:val="13"/>
          <w:szCs w:val="13"/>
          <w:color w:val="auto"/>
        </w:rPr>
        <w:t>MYVT</w:t>
      </w:r>
      <w:r>
        <w:rPr>
          <w:rFonts w:ascii="PMingLiU" w:cs="PMingLiU" w:eastAsia="PMingLiU" w:hAnsi="PMingLiU"/>
          <w:sz w:val="13"/>
          <w:szCs w:val="13"/>
          <w:color w:val="auto"/>
        </w:rPr>
        <w:t/>
      </w:r>
      <w:r>
        <w:rPr>
          <w:rFonts w:ascii="Arial" w:cs="Arial" w:eastAsia="Arial" w:hAnsi="Arial"/>
          <w:sz w:val="13"/>
          <w:szCs w:val="13"/>
          <w:color w:val="auto"/>
        </w:rPr>
        <w:t>JYHJRPUN</w:t>
      </w:r>
      <w:r>
        <w:rPr>
          <w:rFonts w:ascii="PMingLiU" w:cs="PMingLiU" w:eastAsia="PMingLiU" w:hAnsi="PMingLiU"/>
          <w:sz w:val="13"/>
          <w:szCs w:val="13"/>
          <w:color w:val="auto"/>
        </w:rPr>
        <w:t/>
      </w:r>
      <w:r>
        <w:rPr>
          <w:rFonts w:ascii="Arial" w:cs="Arial" w:eastAsia="Arial" w:hAnsi="Arial"/>
          <w:sz w:val="13"/>
          <w:szCs w:val="13"/>
          <w:color w:val="auto"/>
        </w:rPr>
        <w:t>SPNO[LY</w:t>
      </w:r>
      <w:r>
        <w:rPr>
          <w:rFonts w:ascii="PMingLiU" w:cs="PMingLiU" w:eastAsia="PMingLiU" w:hAnsi="PMingLiU"/>
          <w:sz w:val="13"/>
          <w:szCs w:val="13"/>
          <w:color w:val="auto"/>
        </w:rPr>
        <w:t/>
      </w:r>
      <w:r>
        <w:rPr>
          <w:rFonts w:ascii="Arial" w:cs="Arial" w:eastAsia="Arial" w:hAnsi="Arial"/>
          <w:sz w:val="13"/>
          <w:szCs w:val="13"/>
          <w:color w:val="auto"/>
        </w:rPr>
        <w:t>JY\KL</w:t>
      </w:r>
      <w:r>
        <w:rPr>
          <w:rFonts w:ascii="PMingLiU" w:cs="PMingLiU" w:eastAsia="PMingLiU" w:hAnsi="PMingLiU"/>
          <w:sz w:val="13"/>
          <w:szCs w:val="13"/>
          <w:color w:val="auto"/>
        </w:rPr>
        <w:t/>
      </w:r>
      <w:r>
        <w:rPr>
          <w:rFonts w:ascii="Arial" w:cs="Arial" w:eastAsia="Arial" w:hAnsi="Arial"/>
          <w:sz w:val="13"/>
          <w:szCs w:val="13"/>
          <w:color w:val="auto"/>
        </w:rPr>
        <w:t xml:space="preserve">ZSH[LZ </w:t>
      </w:r>
      <w:r>
        <w:rPr>
          <w:rFonts w:ascii="PMingLiU" w:cs="PMingLiU" w:eastAsia="PMingLiU" w:hAnsi="PMingLiU"/>
          <w:sz w:val="13"/>
          <w:szCs w:val="13"/>
          <w:color w:val="auto"/>
        </w:rPr>
        <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fewer barges undergoing maintenance across the industry, and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favorable weather combined to increase available capacity, which</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all weighed on our utility. This pressured spot pricing in the third</w:t>
      </w:r>
    </w:p>
    <w:p>
      <w:pPr>
        <w:spacing w:after="0" w:line="56" w:lineRule="exact"/>
        <w:rPr>
          <w:sz w:val="20"/>
          <w:szCs w:val="20"/>
          <w:color w:val="auto"/>
        </w:rPr>
      </w:pPr>
    </w:p>
    <w:p>
      <w:pPr>
        <w:ind w:left="20"/>
        <w:spacing w:after="0" w:line="170" w:lineRule="exact"/>
        <w:rPr>
          <w:sz w:val="20"/>
          <w:szCs w:val="20"/>
          <w:color w:val="auto"/>
        </w:rPr>
      </w:pPr>
      <w:r>
        <w:rPr>
          <w:rFonts w:ascii="Arial" w:cs="Arial" w:eastAsia="Arial" w:hAnsi="Arial"/>
          <w:sz w:val="14"/>
          <w:szCs w:val="14"/>
          <w:color w:val="auto"/>
        </w:rPr>
        <w:t>X\HY[LY</w:t>
      </w:r>
      <w:r>
        <w:rPr>
          <w:rFonts w:ascii="PMingLiU" w:cs="PMingLiU" w:eastAsia="PMingLiU" w:hAnsi="PMingLiU"/>
          <w:sz w:val="14"/>
          <w:szCs w:val="14"/>
          <w:color w:val="auto"/>
        </w:rPr>
        <w:t/>
      </w:r>
      <w:r>
        <w:rPr>
          <w:rFonts w:ascii="Arial" w:cs="Arial" w:eastAsia="Arial" w:hAnsi="Arial"/>
          <w:sz w:val="14"/>
          <w:szCs w:val="14"/>
          <w:color w:val="auto"/>
        </w:rPr>
        <w:t>YLZ\S[PUN</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SV^LY</w:t>
      </w:r>
      <w:r>
        <w:rPr>
          <w:rFonts w:ascii="PMingLiU" w:cs="PMingLiU" w:eastAsia="PMingLiU" w:hAnsi="PMingLiU"/>
          <w:sz w:val="14"/>
          <w:szCs w:val="14"/>
          <w:color w:val="auto"/>
        </w:rPr>
        <w:t/>
      </w:r>
      <w:r>
        <w:rPr>
          <w:rFonts w:ascii="Arial" w:cs="Arial" w:eastAsia="Arial" w:hAnsi="Arial"/>
          <w:sz w:val="14"/>
          <w:szCs w:val="14"/>
          <w:color w:val="auto"/>
        </w:rPr>
        <w:t>THYNPUZ</w:t>
      </w:r>
      <w:r>
        <w:rPr>
          <w:rFonts w:ascii="PMingLiU" w:cs="PMingLiU" w:eastAsia="PMingLiU" w:hAnsi="PMingLiU"/>
          <w:sz w:val="14"/>
          <w:szCs w:val="14"/>
          <w:color w:val="auto"/>
        </w:rPr>
        <w:t/>
      </w:r>
      <w:r>
        <w:rPr>
          <w:rFonts w:ascii="Arial" w:cs="Arial" w:eastAsia="Arial" w:hAnsi="Arial"/>
          <w:sz w:val="14"/>
          <w:szCs w:val="14"/>
          <w:color w:val="auto"/>
        </w:rPr>
        <w:t>JVTWHYLK</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ÄYZ[</w:t>
      </w:r>
      <w:r>
        <w:rPr>
          <w:rFonts w:ascii="PMingLiU" w:cs="PMingLiU" w:eastAsia="PMingLiU" w:hAnsi="PMingLiU"/>
          <w:sz w:val="14"/>
          <w:szCs w:val="14"/>
          <w:color w:val="auto"/>
        </w:rPr>
        <w:t/>
      </w:r>
      <w:r>
        <w:rPr>
          <w:rFonts w:ascii="Arial" w:cs="Arial" w:eastAsia="Arial" w:hAnsi="Arial"/>
          <w:sz w:val="14"/>
          <w:szCs w:val="14"/>
          <w:color w:val="auto"/>
        </w:rPr>
        <w:t>OHSM</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p>
    <w:p>
      <w:pPr>
        <w:spacing w:after="0" w:line="70"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`LHY</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MV\Y[O</w:t>
      </w:r>
      <w:r>
        <w:rPr>
          <w:rFonts w:ascii="PMingLiU" w:cs="PMingLiU" w:eastAsia="PMingLiU" w:hAnsi="PMingLiU"/>
          <w:sz w:val="14"/>
          <w:szCs w:val="14"/>
          <w:color w:val="auto"/>
        </w:rPr>
        <w:t/>
      </w:r>
      <w:r>
        <w:rPr>
          <w:rFonts w:ascii="Arial" w:cs="Arial" w:eastAsia="Arial" w:hAnsi="Arial"/>
          <w:sz w:val="14"/>
          <w:szCs w:val="14"/>
          <w:color w:val="auto"/>
        </w:rPr>
        <w:t>X\HY[LY</w:t>
      </w:r>
      <w:r>
        <w:rPr>
          <w:rFonts w:ascii="PMingLiU" w:cs="PMingLiU" w:eastAsia="PMingLiU" w:hAnsi="PMingLiU"/>
          <w:sz w:val="14"/>
          <w:szCs w:val="14"/>
          <w:color w:val="auto"/>
        </w:rPr>
        <w:t/>
      </w:r>
      <w:r>
        <w:rPr>
          <w:rFonts w:ascii="Arial" w:cs="Arial" w:eastAsia="Arial" w:hAnsi="Arial"/>
          <w:sz w:val="14"/>
          <w:szCs w:val="14"/>
          <w:color w:val="auto"/>
        </w:rPr>
        <w:t>YLÅLJ[LK</w:t>
      </w:r>
      <w:r>
        <w:rPr>
          <w:rFonts w:ascii="PMingLiU" w:cs="PMingLiU" w:eastAsia="PMingLiU" w:hAnsi="PMingLiU"/>
          <w:sz w:val="14"/>
          <w:szCs w:val="14"/>
          <w:color w:val="auto"/>
        </w:rPr>
        <w:t/>
      </w:r>
      <w:r>
        <w:rPr>
          <w:rFonts w:ascii="Arial" w:cs="Arial" w:eastAsia="Arial" w:hAnsi="Arial"/>
          <w:sz w:val="14"/>
          <w:szCs w:val="14"/>
          <w:color w:val="auto"/>
        </w:rPr>
        <w:t>PTWYV]LK</w:t>
      </w:r>
      <w:r>
        <w:rPr>
          <w:rFonts w:ascii="PMingLiU" w:cs="PMingLiU" w:eastAsia="PMingLiU" w:hAnsi="PMingLiU"/>
          <w:sz w:val="14"/>
          <w:szCs w:val="14"/>
          <w:color w:val="auto"/>
        </w:rPr>
        <w:t/>
      </w:r>
      <w:r>
        <w:rPr>
          <w:rFonts w:ascii="Arial" w:cs="Arial" w:eastAsia="Arial" w:hAnsi="Arial"/>
          <w:sz w:val="14"/>
          <w:szCs w:val="14"/>
          <w:color w:val="auto"/>
        </w:rPr>
        <w:t>THYRL[</w:t>
      </w:r>
      <w:r>
        <w:rPr>
          <w:rFonts w:ascii="PMingLiU" w:cs="PMingLiU" w:eastAsia="PMingLiU" w:hAnsi="PMingLiU"/>
          <w:sz w:val="14"/>
          <w:szCs w:val="14"/>
          <w:color w:val="auto"/>
        </w:rPr>
        <w:t/>
      </w:r>
      <w:r>
        <w:rPr>
          <w:rFonts w:ascii="Arial" w:cs="Arial" w:eastAsia="Arial" w:hAnsi="Arial"/>
          <w:sz w:val="14"/>
          <w:szCs w:val="14"/>
          <w:color w:val="auto"/>
        </w:rPr>
        <w:t>JVUKP[PVUZ</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as utilization strengthened and spot pricing began to recover.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However, demand remained below earlier-year levels and term</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renewals softened into the year end. Despite the second half price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softness, disciplined cost management and strong execution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allowed inland marine to deliver low-20% operating margins for</w:t>
      </w:r>
    </w:p>
    <w:p>
      <w:pPr>
        <w:spacing w:after="0" w:line="51"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X\HY[LY</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Coastal marine continued its improving trend and delivered strong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results in 2025, supported by steady customer demand and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limited availability of large-capacity vessels. Market fundamentals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remained constructive throughout the year, allowing the business to</w:t>
      </w:r>
    </w:p>
    <w:p>
      <w:pPr>
        <w:spacing w:after="0" w:line="68"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THPU[HPU</w:t>
      </w:r>
      <w:r>
        <w:rPr>
          <w:rFonts w:ascii="PMingLiU" w:cs="PMingLiU" w:eastAsia="PMingLiU" w:hAnsi="PMingLiU"/>
          <w:sz w:val="14"/>
          <w:szCs w:val="14"/>
          <w:color w:val="auto"/>
        </w:rPr>
        <w:t/>
      </w:r>
      <w:r>
        <w:rPr>
          <w:rFonts w:ascii="Arial" w:cs="Arial" w:eastAsia="Arial" w:hAnsi="Arial"/>
          <w:sz w:val="14"/>
          <w:szCs w:val="14"/>
          <w:color w:val="auto"/>
        </w:rPr>
        <w:t>IHYNL</w:t>
      </w:r>
      <w:r>
        <w:rPr>
          <w:rFonts w:ascii="PMingLiU" w:cs="PMingLiU" w:eastAsia="PMingLiU" w:hAnsi="PMingLiU"/>
          <w:sz w:val="14"/>
          <w:szCs w:val="14"/>
          <w:color w:val="auto"/>
        </w:rPr>
        <w:t/>
      </w:r>
      <w:r>
        <w:rPr>
          <w:rFonts w:ascii="Arial" w:cs="Arial" w:eastAsia="Arial" w:hAnsi="Arial"/>
          <w:sz w:val="14"/>
          <w:szCs w:val="14"/>
          <w:color w:val="auto"/>
        </w:rPr>
        <w:t>\[PSPaH[PVU</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TPK</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OPNO</w:t>
      </w:r>
      <w:r>
        <w:rPr>
          <w:rFonts w:ascii="PMingLiU" w:cs="PMingLiU" w:eastAsia="PMingLiU" w:hAnsi="PMingLiU"/>
          <w:sz w:val="14"/>
          <w:szCs w:val="14"/>
          <w:color w:val="auto"/>
        </w:rPr>
        <w:t> </w:t>
      </w:r>
      <w:r>
        <w:rPr>
          <w:rFonts w:ascii="Arial" w:cs="Arial" w:eastAsia="Arial" w:hAnsi="Arial"/>
          <w:sz w:val="14"/>
          <w:szCs w:val="14"/>
          <w:color w:val="auto"/>
        </w:rPr>
        <w:t>YHUNL</w:t>
      </w:r>
      <w:r>
        <w:rPr>
          <w:rFonts w:ascii="PMingLiU" w:cs="PMingLiU" w:eastAsia="PMingLiU" w:hAnsi="PMingLiU"/>
          <w:sz w:val="14"/>
          <w:szCs w:val="14"/>
          <w:color w:val="auto"/>
        </w:rPr>
        <w:t/>
      </w:r>
      <w:r>
        <w:rPr>
          <w:rFonts w:ascii="Arial" w:cs="Arial" w:eastAsia="Arial" w:hAnsi="Arial"/>
          <w:sz w:val="14"/>
          <w:szCs w:val="14"/>
          <w:color w:val="auto"/>
        </w:rPr>
        <w:t>0U</w:t>
      </w:r>
      <w:r>
        <w:rPr>
          <w:rFonts w:ascii="PMingLiU" w:cs="PMingLiU" w:eastAsia="PMingLiU" w:hAnsi="PMingLiU"/>
          <w:sz w:val="14"/>
          <w:szCs w:val="14"/>
          <w:color w:val="auto"/>
        </w:rPr>
        <w:t/>
      </w:r>
      <w:r>
        <w:rPr>
          <w:rFonts w:ascii="Arial" w:cs="Arial" w:eastAsia="Arial" w:hAnsi="Arial"/>
          <w:sz w:val="14"/>
          <w:szCs w:val="14"/>
          <w:color w:val="auto"/>
        </w:rPr>
        <w:t>[O</w:t>
      </w:r>
      <w:r>
        <w:rPr>
          <w:rFonts w:ascii="PMingLiU" w:cs="PMingLiU" w:eastAsia="PMingLiU" w:hAnsi="PMingLiU"/>
          <w:sz w:val="14"/>
          <w:szCs w:val="14"/>
          <w:color w:val="auto"/>
        </w:rPr>
        <w:t>L</w:t>
      </w:r>
      <w:r>
        <w:rPr>
          <w:rFonts w:ascii="Arial" w:cs="Arial" w:eastAsia="Arial" w:hAnsi="Arial"/>
          <w:sz w:val="14"/>
          <w:szCs w:val="14"/>
          <w:color w:val="auto"/>
        </w:rPr>
        <w:t>ÄYZ[</w:t>
      </w:r>
    </w:p>
    <w:p>
      <w:pPr>
        <w:spacing w:after="0" w:line="70"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X\HY[LY</w:t>
      </w:r>
      <w:r>
        <w:rPr>
          <w:rFonts w:ascii="PMingLiU" w:cs="PMingLiU" w:eastAsia="PMingLiU" w:hAnsi="PMingLiU"/>
          <w:sz w:val="14"/>
          <w:szCs w:val="14"/>
          <w:color w:val="auto"/>
        </w:rPr>
        <w:t/>
      </w:r>
      <w:r>
        <w:rPr>
          <w:rFonts w:ascii="Arial" w:cs="Arial" w:eastAsia="Arial" w:hAnsi="Arial"/>
          <w:sz w:val="14"/>
          <w:szCs w:val="14"/>
          <w:color w:val="auto"/>
        </w:rPr>
        <w:t>YLZ\S[Z</w:t>
      </w:r>
      <w:r>
        <w:rPr>
          <w:rFonts w:ascii="PMingLiU" w:cs="PMingLiU" w:eastAsia="PMingLiU" w:hAnsi="PMingLiU"/>
          <w:sz w:val="14"/>
          <w:szCs w:val="14"/>
          <w:color w:val="auto"/>
        </w:rPr>
        <w:t/>
      </w:r>
      <w:r>
        <w:rPr>
          <w:rFonts w:ascii="Arial" w:cs="Arial" w:eastAsia="Arial" w:hAnsi="Arial"/>
          <w:sz w:val="14"/>
          <w:szCs w:val="14"/>
          <w:color w:val="auto"/>
        </w:rPr>
        <w:t>^LYL</w:t>
      </w:r>
      <w:r>
        <w:rPr>
          <w:rFonts w:ascii="PMingLiU" w:cs="PMingLiU" w:eastAsia="PMingLiU" w:hAnsi="PMingLiU"/>
          <w:sz w:val="14"/>
          <w:szCs w:val="14"/>
          <w:color w:val="auto"/>
        </w:rPr>
        <w:t/>
      </w:r>
      <w:r>
        <w:rPr>
          <w:rFonts w:ascii="Arial" w:cs="Arial" w:eastAsia="Arial" w:hAnsi="Arial"/>
          <w:sz w:val="14"/>
          <w:szCs w:val="14"/>
          <w:color w:val="auto"/>
        </w:rPr>
        <w:t>PTWHJ[LK</w:t>
      </w:r>
      <w:r>
        <w:rPr>
          <w:rFonts w:ascii="PMingLiU" w:cs="PMingLiU" w:eastAsia="PMingLiU" w:hAnsi="PMingLiU"/>
          <w:sz w:val="14"/>
          <w:szCs w:val="14"/>
          <w:color w:val="auto"/>
        </w:rPr>
        <w:t/>
      </w:r>
      <w:r>
        <w:rPr>
          <w:rFonts w:ascii="Arial" w:cs="Arial" w:eastAsia="Arial" w:hAnsi="Arial"/>
          <w:sz w:val="14"/>
          <w:szCs w:val="14"/>
          <w:color w:val="auto"/>
        </w:rPr>
        <w:t>I`</w:t>
      </w:r>
      <w:r>
        <w:rPr>
          <w:rFonts w:ascii="PMingLiU" w:cs="PMingLiU" w:eastAsia="PMingLiU" w:hAnsi="PMingLiU"/>
          <w:sz w:val="14"/>
          <w:szCs w:val="14"/>
          <w:color w:val="auto"/>
        </w:rPr>
        <w:t/>
      </w:r>
      <w:r>
        <w:rPr>
          <w:rFonts w:ascii="Arial" w:cs="Arial" w:eastAsia="Arial" w:hAnsi="Arial"/>
          <w:sz w:val="14"/>
          <w:szCs w:val="14"/>
          <w:color w:val="auto"/>
        </w:rPr>
        <w:t>LSL]H[LK</w:t>
      </w:r>
      <w:r>
        <w:rPr>
          <w:rFonts w:ascii="PMingLiU" w:cs="PMingLiU" w:eastAsia="PMingLiU" w:hAnsi="PMingLiU"/>
          <w:sz w:val="14"/>
          <w:szCs w:val="14"/>
          <w:color w:val="auto"/>
        </w:rPr>
        <w:t/>
      </w:r>
      <w:r>
        <w:rPr>
          <w:rFonts w:ascii="Arial" w:cs="Arial" w:eastAsia="Arial" w:hAnsi="Arial"/>
          <w:sz w:val="14"/>
          <w:szCs w:val="14"/>
          <w:color w:val="auto"/>
        </w:rPr>
        <w:t>ZOPW`HYK</w:t>
      </w:r>
      <w:r>
        <w:rPr>
          <w:rFonts w:ascii="PMingLiU" w:cs="PMingLiU" w:eastAsia="PMingLiU" w:hAnsi="PMingLiU"/>
          <w:sz w:val="14"/>
          <w:szCs w:val="14"/>
          <w:color w:val="auto"/>
        </w:rPr>
        <w:t/>
      </w:r>
      <w:r>
        <w:rPr>
          <w:rFonts w:ascii="Arial" w:cs="Arial" w:eastAsia="Arial" w:hAnsi="Arial"/>
          <w:sz w:val="14"/>
          <w:szCs w:val="14"/>
          <w:color w:val="auto"/>
        </w:rPr>
        <w:t>HJ[P]P[`</w:t>
      </w:r>
      <w:r>
        <w:rPr>
          <w:rFonts w:ascii="PMingLiU" w:cs="PMingLiU" w:eastAsia="PMingLiU" w:hAnsi="PMingLiU"/>
          <w:sz w:val="14"/>
          <w:szCs w:val="14"/>
          <w:color w:val="auto"/>
        </w:rPr>
        <w:t/>
      </w:r>
      <w:r>
        <w:rPr>
          <w:rFonts w:ascii="Arial" w:cs="Arial" w:eastAsia="Arial" w:hAnsi="Arial"/>
          <w:sz w:val="14"/>
          <w:szCs w:val="14"/>
          <w:color w:val="auto"/>
        </w:rPr>
        <w:t>^OPJO</w:t>
      </w:r>
      <w:r>
        <w:rPr>
          <w:rFonts w:ascii="PMingLiU" w:cs="PMingLiU" w:eastAsia="PMingLiU" w:hAnsi="PMingLiU"/>
          <w:sz w:val="14"/>
          <w:szCs w:val="14"/>
          <w:color w:val="auto"/>
        </w:rPr>
        <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weighed on margins despite strong underlying demand and pricing</w:t>
      </w:r>
    </w:p>
    <w:p>
      <w:pPr>
        <w:spacing w:after="0" w:line="68"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TVTLU[\T</w:t>
      </w:r>
      <w:r>
        <w:rPr>
          <w:rFonts w:ascii="PMingLiU" w:cs="PMingLiU" w:eastAsia="PMingLiU" w:hAnsi="PMingLiU"/>
          <w:sz w:val="15"/>
          <w:szCs w:val="15"/>
          <w:color w:val="auto"/>
        </w:rPr>
        <w:t/>
      </w:r>
      <w:r>
        <w:rPr>
          <w:rFonts w:ascii="Arial" w:cs="Arial" w:eastAsia="Arial" w:hAnsi="Arial"/>
          <w:sz w:val="15"/>
          <w:szCs w:val="15"/>
          <w:color w:val="auto"/>
        </w:rPr>
        <w:t>(Z</w:t>
      </w:r>
      <w:r>
        <w:rPr>
          <w:rFonts w:ascii="PMingLiU" w:cs="PMingLiU" w:eastAsia="PMingLiU" w:hAnsi="PMingLiU"/>
          <w:sz w:val="15"/>
          <w:szCs w:val="15"/>
          <w:color w:val="auto"/>
        </w:rPr>
        <w:t/>
      </w:r>
      <w:r>
        <w:rPr>
          <w:rFonts w:ascii="Arial" w:cs="Arial" w:eastAsia="Arial" w:hAnsi="Arial"/>
          <w:sz w:val="15"/>
          <w:szCs w:val="15"/>
          <w:color w:val="auto"/>
        </w:rPr>
        <w:t>ZOPW`HYK</w:t>
      </w:r>
      <w:r>
        <w:rPr>
          <w:rFonts w:ascii="PMingLiU" w:cs="PMingLiU" w:eastAsia="PMingLiU" w:hAnsi="PMingLiU"/>
          <w:sz w:val="15"/>
          <w:szCs w:val="15"/>
          <w:color w:val="auto"/>
        </w:rPr>
        <w:t/>
      </w:r>
      <w:r>
        <w:rPr>
          <w:rFonts w:ascii="Arial" w:cs="Arial" w:eastAsia="Arial" w:hAnsi="Arial"/>
          <w:sz w:val="15"/>
          <w:szCs w:val="15"/>
          <w:color w:val="auto"/>
        </w:rPr>
        <w:t>HJ[P]P[`</w:t>
      </w:r>
      <w:r>
        <w:rPr>
          <w:rFonts w:ascii="PMingLiU" w:cs="PMingLiU" w:eastAsia="PMingLiU" w:hAnsi="PMingLiU"/>
          <w:sz w:val="15"/>
          <w:szCs w:val="15"/>
          <w:color w:val="auto"/>
        </w:rPr>
        <w:t/>
      </w:r>
      <w:r>
        <w:rPr>
          <w:rFonts w:ascii="Arial" w:cs="Arial" w:eastAsia="Arial" w:hAnsi="Arial"/>
          <w:sz w:val="15"/>
          <w:szCs w:val="15"/>
          <w:color w:val="auto"/>
        </w:rPr>
        <w:t>TVKLYH[LK</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ZLJVUK</w:t>
      </w:r>
      <w:r>
        <w:rPr>
          <w:rFonts w:ascii="PMingLiU" w:cs="PMingLiU" w:eastAsia="PMingLiU" w:hAnsi="PMingLiU"/>
          <w:sz w:val="15"/>
          <w:szCs w:val="15"/>
          <w:color w:val="auto"/>
        </w:rPr>
        <w:t/>
      </w:r>
      <w:r>
        <w:rPr>
          <w:rFonts w:ascii="Arial" w:cs="Arial" w:eastAsia="Arial" w:hAnsi="Arial"/>
          <w:sz w:val="15"/>
          <w:szCs w:val="15"/>
          <w:color w:val="auto"/>
        </w:rPr>
        <w:t>X\HY[LY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pricing continued to improve on term contract renewals. This drove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margins into the high-teens range. Positive market</w:t>
      </w:r>
    </w:p>
    <w:p>
      <w:pPr>
        <w:spacing w:after="0" w:line="56"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M\UKHTLU[HSZ</w:t>
      </w:r>
      <w:r>
        <w:rPr>
          <w:rFonts w:ascii="PMingLiU" w:cs="PMingLiU" w:eastAsia="PMingLiU" w:hAnsi="PMingLiU"/>
          <w:sz w:val="14"/>
          <w:szCs w:val="14"/>
          <w:color w:val="auto"/>
        </w:rPr>
        <w:t/>
      </w:r>
      <w:r>
        <w:rPr>
          <w:rFonts w:ascii="Arial" w:cs="Arial" w:eastAsia="Arial" w:hAnsi="Arial"/>
          <w:sz w:val="14"/>
          <w:szCs w:val="14"/>
          <w:color w:val="auto"/>
        </w:rPr>
        <w:t>JVU[PU\LK</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[OPYK</w:t>
      </w:r>
      <w:r>
        <w:rPr>
          <w:rFonts w:ascii="PMingLiU" w:cs="PMingLiU" w:eastAsia="PMingLiU" w:hAnsi="PMingLiU"/>
          <w:sz w:val="14"/>
          <w:szCs w:val="14"/>
          <w:color w:val="auto"/>
        </w:rPr>
        <w:t/>
      </w:r>
      <w:r>
        <w:rPr>
          <w:rFonts w:ascii="Arial" w:cs="Arial" w:eastAsia="Arial" w:hAnsi="Arial"/>
          <w:sz w:val="14"/>
          <w:szCs w:val="14"/>
          <w:color w:val="auto"/>
        </w:rPr>
        <w:t>X\HY[LY</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Z[YVUN</w:t>
      </w:r>
      <w:r>
        <w:rPr>
          <w:rFonts w:ascii="PMingLiU" w:cs="PMingLiU" w:eastAsia="PMingLiU" w:hAnsi="PMingLiU"/>
          <w:sz w:val="14"/>
          <w:szCs w:val="14"/>
          <w:color w:val="auto"/>
        </w:rPr>
        <w:t/>
      </w:r>
      <w:r>
        <w:rPr>
          <w:rFonts w:ascii="Arial" w:cs="Arial" w:eastAsia="Arial" w:hAnsi="Arial"/>
          <w:sz w:val="14"/>
          <w:szCs w:val="14"/>
          <w:color w:val="auto"/>
        </w:rPr>
        <w:t>L_LJ\[ VU</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our coastal team supported further margin improvement, with</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margins reaching approximately 20%. In the fourth</w:t>
      </w:r>
    </w:p>
    <w:p>
      <w:pPr>
        <w:spacing w:after="0" w:line="56"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X\HY[LY</w:t>
      </w:r>
      <w:r>
        <w:rPr>
          <w:rFonts w:ascii="PMingLiU" w:cs="PMingLiU" w:eastAsia="PMingLiU" w:hAnsi="PMingLiU"/>
          <w:sz w:val="14"/>
          <w:szCs w:val="14"/>
          <w:color w:val="auto"/>
        </w:rPr>
        <w:t/>
      </w:r>
      <w:r>
        <w:rPr>
          <w:rFonts w:ascii="Arial" w:cs="Arial" w:eastAsia="Arial" w:hAnsi="Arial"/>
          <w:sz w:val="14"/>
          <w:szCs w:val="14"/>
          <w:color w:val="auto"/>
        </w:rPr>
        <w:t>KLZWP[L</w:t>
      </w:r>
      <w:r>
        <w:rPr>
          <w:rFonts w:ascii="PMingLiU" w:cs="PMingLiU" w:eastAsia="PMingLiU" w:hAnsi="PMingLiU"/>
          <w:sz w:val="14"/>
          <w:szCs w:val="14"/>
          <w:color w:val="auto"/>
        </w:rPr>
        <w:t/>
      </w:r>
      <w:r>
        <w:rPr>
          <w:rFonts w:ascii="Arial" w:cs="Arial" w:eastAsia="Arial" w:hAnsi="Arial"/>
          <w:sz w:val="14"/>
          <w:szCs w:val="14"/>
          <w:color w:val="auto"/>
        </w:rPr>
        <w:t>UVYTHS</w:t>
      </w:r>
      <w:r>
        <w:rPr>
          <w:rFonts w:ascii="PMingLiU" w:cs="PMingLiU" w:eastAsia="PMingLiU" w:hAnsi="PMingLiU"/>
          <w:sz w:val="14"/>
          <w:szCs w:val="14"/>
          <w:color w:val="auto"/>
        </w:rPr>
        <w:t/>
      </w:r>
      <w:r>
        <w:rPr>
          <w:rFonts w:ascii="Arial" w:cs="Arial" w:eastAsia="Arial" w:hAnsi="Arial"/>
          <w:sz w:val="14"/>
          <w:szCs w:val="14"/>
          <w:color w:val="auto"/>
        </w:rPr>
        <w:t>ZLHZVUHS</w:t>
      </w:r>
      <w:r>
        <w:rPr>
          <w:rFonts w:ascii="PMingLiU" w:cs="PMingLiU" w:eastAsia="PMingLiU" w:hAnsi="PMingLiU"/>
          <w:sz w:val="14"/>
          <w:szCs w:val="14"/>
          <w:color w:val="auto"/>
        </w:rPr>
        <w:t/>
      </w:r>
      <w:r>
        <w:rPr>
          <w:rFonts w:ascii="Arial" w:cs="Arial" w:eastAsia="Arial" w:hAnsi="Arial"/>
          <w:sz w:val="14"/>
          <w:szCs w:val="14"/>
          <w:color w:val="auto"/>
        </w:rPr>
        <w:t>MHJ[VYZ</w:t>
      </w:r>
      <w:r>
        <w:rPr>
          <w:rFonts w:ascii="PMingLiU" w:cs="PMingLiU" w:eastAsia="PMingLiU" w:hAnsi="PMingLiU"/>
          <w:sz w:val="14"/>
          <w:szCs w:val="14"/>
          <w:color w:val="auto"/>
        </w:rPr>
        <w:t/>
      </w:r>
      <w:r>
        <w:rPr>
          <w:rFonts w:ascii="Arial" w:cs="Arial" w:eastAsia="Arial" w:hAnsi="Arial"/>
          <w:sz w:val="14"/>
          <w:szCs w:val="14"/>
          <w:color w:val="auto"/>
        </w:rPr>
        <w:t>THYRL[</w:t>
      </w:r>
      <w:r>
        <w:rPr>
          <w:rFonts w:ascii="PMingLiU" w:cs="PMingLiU" w:eastAsia="PMingLiU" w:hAnsi="PMingLiU"/>
          <w:sz w:val="14"/>
          <w:szCs w:val="14"/>
          <w:color w:val="auto"/>
        </w:rPr>
        <w:t/>
      </w:r>
      <w:r>
        <w:rPr>
          <w:rFonts w:ascii="Arial" w:cs="Arial" w:eastAsia="Arial" w:hAnsi="Arial"/>
          <w:sz w:val="14"/>
          <w:szCs w:val="14"/>
          <w:color w:val="auto"/>
        </w:rPr>
        <w:t>JVUKP[PVUZ</w:t>
      </w:r>
      <w:r>
        <w:rPr>
          <w:rFonts w:ascii="PMingLiU" w:cs="PMingLiU" w:eastAsia="PMingLiU" w:hAnsi="PMingLiU"/>
          <w:sz w:val="14"/>
          <w:szCs w:val="14"/>
          <w:color w:val="auto"/>
        </w:rPr>
        <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remained strong, and the business maintained high utilization and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solid pricing, allowing coastal marine to conclude the year with</w:t>
      </w:r>
    </w:p>
    <w:p>
      <w:pPr>
        <w:spacing w:after="0" w:line="204" w:lineRule="exact"/>
        <w:rPr>
          <w:sz w:val="20"/>
          <w:szCs w:val="20"/>
          <w:color w:val="auto"/>
        </w:rPr>
      </w:pPr>
    </w:p>
    <w:p>
      <w:pPr>
        <w:sectPr>
          <w:pgSz w:w="12240" w:h="15840" w:orient="portrait"/>
          <w:cols w:equalWidth="0" w:num="2">
            <w:col w:w="4760" w:space="560"/>
            <w:col w:w="4680"/>
          </w:cols>
          <w:pgMar w:left="1440" w:top="769" w:right="800" w:bottom="0" w:gutter="0" w:footer="0" w:header="0"/>
          <w:type w:val="continuous"/>
        </w:sectPr>
      </w:pPr>
    </w:p>
    <w:p>
      <w:pPr>
        <w:spacing w:after="0" w:line="206" w:lineRule="exact"/>
        <w:rPr>
          <w:sz w:val="20"/>
          <w:szCs w:val="20"/>
          <w:color w:val="auto"/>
        </w:rPr>
      </w:pPr>
    </w:p>
    <w:p>
      <w:pPr>
        <w:ind w:left="7440"/>
        <w:spacing w:after="0"/>
        <w:tabs>
          <w:tab w:leader="none" w:pos="8460" w:val="left"/>
          <w:tab w:leader="none" w:pos="9880" w:val="left"/>
        </w:tabs>
        <w:rPr>
          <w:sz w:val="20"/>
          <w:szCs w:val="20"/>
          <w:color w:val="auto"/>
        </w:rPr>
      </w:pPr>
      <w:r>
        <w:rPr>
          <w:rFonts w:ascii="Arial" w:cs="Arial" w:eastAsia="Arial" w:hAnsi="Arial"/>
          <w:sz w:val="12"/>
          <w:szCs w:val="12"/>
          <w:b w:val="1"/>
          <w:bCs w:val="1"/>
          <w:color w:val="00712E"/>
        </w:rPr>
        <w:t>Kirby Corporation</w:t>
      </w:r>
      <w:r>
        <w:rPr>
          <w:sz w:val="20"/>
          <w:szCs w:val="20"/>
          <w:color w:val="auto"/>
        </w:rPr>
        <w:tab/>
      </w:r>
      <w:r>
        <w:rPr>
          <w:rFonts w:ascii="Arial" w:cs="Arial" w:eastAsia="Arial" w:hAnsi="Arial"/>
          <w:sz w:val="12"/>
          <w:szCs w:val="12"/>
          <w:color w:val="4C4C4C"/>
        </w:rPr>
        <w:t>2025 Annual Report</w:t>
      </w:r>
      <w:r>
        <w:rPr>
          <w:sz w:val="20"/>
          <w:szCs w:val="20"/>
          <w:color w:val="auto"/>
        </w:rPr>
        <w:tab/>
      </w:r>
      <w:r>
        <w:rPr>
          <w:rFonts w:ascii="Arial" w:cs="Arial" w:eastAsia="Arial" w:hAnsi="Arial"/>
          <w:sz w:val="14"/>
          <w:szCs w:val="14"/>
          <w:color w:val="00712E"/>
        </w:rPr>
        <w:t>1</w:t>
      </w:r>
    </w:p>
    <w:p>
      <w:pPr>
        <w:sectPr>
          <w:pgSz w:w="12240" w:h="15840" w:orient="portrait"/>
          <w:cols w:equalWidth="0" w:num="1">
            <w:col w:w="10000"/>
          </w:cols>
          <w:pgMar w:left="1440" w:top="769" w:right="800" w:bottom="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20"/>
          <w:szCs w:val="20"/>
          <w:b w:val="1"/>
          <w:bCs w:val="1"/>
          <w:color w:val="00712E"/>
        </w:rPr>
        <w:t xml:space="preserve">To Our Stockholders </w:t>
      </w:r>
      <w:r>
        <w:rPr>
          <w:rFonts w:ascii="Arial" w:cs="Arial" w:eastAsia="Arial" w:hAnsi="Arial"/>
          <w:sz w:val="20"/>
          <w:szCs w:val="20"/>
          <w:color w:val="00712E"/>
        </w:rPr>
        <w:t>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12E"/>
        </w:rPr>
        <w:t>REVENUES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2"/>
          <w:szCs w:val="12"/>
          <w:i w:val="1"/>
          <w:iCs w:val="1"/>
          <w:color w:val="595959"/>
        </w:rPr>
        <w:t>In Millions</w:t>
      </w:r>
    </w:p>
    <w:p>
      <w:pPr>
        <w:spacing w:after="0" w:line="22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4"/>
          <w:szCs w:val="14"/>
          <w:color w:val="595959"/>
        </w:rPr>
        <w:t>$3,266</w:t>
      </w:r>
      <w:r>
        <w:rPr>
          <w:sz w:val="20"/>
          <w:szCs w:val="20"/>
          <w:color w:val="auto"/>
        </w:rPr>
        <w:tab/>
      </w:r>
      <w:r>
        <w:rPr>
          <w:rFonts w:ascii="Arial" w:cs="Arial" w:eastAsia="Arial" w:hAnsi="Arial"/>
          <w:sz w:val="18"/>
          <w:szCs w:val="18"/>
          <w:b w:val="1"/>
          <w:bCs w:val="1"/>
          <w:color w:val="auto"/>
          <w:vertAlign w:val="superscript"/>
        </w:rPr>
        <w:t>$3,364</w:t>
      </w:r>
    </w:p>
    <w:p>
      <w:pPr>
        <w:ind w:left="980"/>
        <w:spacing w:after="0" w:line="184" w:lineRule="auto"/>
        <w:rPr>
          <w:sz w:val="20"/>
          <w:szCs w:val="20"/>
          <w:color w:val="auto"/>
        </w:rPr>
      </w:pPr>
      <w:r>
        <w:rPr>
          <w:rFonts w:ascii="Arial" w:cs="Arial" w:eastAsia="Arial" w:hAnsi="Arial"/>
          <w:sz w:val="12"/>
          <w:szCs w:val="12"/>
          <w:color w:val="595959"/>
        </w:rPr>
        <w:t>$3,092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1264920</wp:posOffset>
                </wp:positionH>
                <wp:positionV relativeFrom="paragraph">
                  <wp:posOffset>-35560</wp:posOffset>
                </wp:positionV>
                <wp:extent cx="172720" cy="116141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1161415"/>
                        </a:xfrm>
                        <a:prstGeom prst="rect">
                          <a:avLst/>
                        </a:prstGeom>
                        <a:solidFill>
                          <a:srgbClr val="00712E"/>
                        </a:solidFill>
                      </wps:spPr>
                      <wps:bodyPr/>
                    </wps:wsp>
                  </a:graphicData>
                </a:graphic>
              </wp:anchor>
            </w:drawing>
          </mc:Choice>
          <mc:Fallback>
            <w:pict>
              <v:rect id="Shape 3" o:spid="_x0000_s1028" style="position:absolute;margin-left:99.6pt;margin-top:-2.7999pt;width:13.6pt;height:9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712E" stroked="f"/>
            </w:pict>
          </mc:Fallback>
        </mc:AlternateContent>
      </w:r>
    </w:p>
    <w:tbl>
      <w:tblPr>
        <w:tblLayout w:type="fixed"/>
        <w:tblInd w:w="0" w:type="dxa"/>
        <w:tblCellMar>
          <w:top w:w="0" w:type="dxa"/>
          <w:left w:w="0" w:type="dxa"/>
          <w:bottom w:w="0" w:type="dxa"/>
          <w:right w:w="0" w:type="dxa"/>
        </w:tblCellMar>
      </w:tblPr>
      <w:tr>
        <w:trPr>
          <w:trHeight w:val="90"/>
        </w:trPr>
        <w:tc>
          <w:tcPr>
            <w:tcW w:w="4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595959"/>
                <w:w w:val="83"/>
              </w:rPr>
              <w:t>$2,247</w:t>
            </w:r>
          </w:p>
        </w:tc>
        <w:tc>
          <w:tcPr>
            <w:tcW w:w="5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595959"/>
                <w:w w:val="93"/>
              </w:rPr>
              <w:t>$2,785</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shd w:val="clear" w:color="auto" w:fill="275886"/>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vMerge w:val="restart"/>
          </w:tcPr>
          <w:p>
            <w:pPr>
              <w:ind w:left="160"/>
              <w:spacing w:after="0" w:line="448" w:lineRule="exact"/>
              <w:rPr>
                <w:sz w:val="20"/>
                <w:szCs w:val="20"/>
                <w:color w:val="auto"/>
              </w:rPr>
            </w:pPr>
            <w:r>
              <w:rPr>
                <w:rFonts w:ascii="Arial" w:cs="Arial" w:eastAsia="Arial" w:hAnsi="Arial"/>
                <w:sz w:val="51"/>
                <w:szCs w:val="51"/>
                <w:b w:val="1"/>
                <w:bCs w:val="1"/>
                <w:color w:val="001E58"/>
              </w:rPr>
              <w:t>3</w:t>
            </w:r>
            <w:r>
              <w:rPr>
                <w:rFonts w:ascii="Arial" w:cs="Arial" w:eastAsia="Arial" w:hAnsi="Arial"/>
                <w:sz w:val="31"/>
                <w:szCs w:val="31"/>
                <w:b w:val="1"/>
                <w:bCs w:val="1"/>
                <w:color w:val="001E58"/>
              </w:rPr>
              <w:t>%</w:t>
            </w:r>
          </w:p>
        </w:tc>
        <w:tc>
          <w:tcPr>
            <w:tcW w:w="0" w:type="dxa"/>
            <w:vAlign w:val="bottom"/>
          </w:tcPr>
          <w:p>
            <w:pPr>
              <w:spacing w:after="0"/>
              <w:rPr>
                <w:sz w:val="1"/>
                <w:szCs w:val="1"/>
                <w:color w:val="auto"/>
              </w:rPr>
            </w:pPr>
          </w:p>
        </w:tc>
      </w:tr>
      <w:tr>
        <w:trPr>
          <w:trHeight w:val="108"/>
        </w:trPr>
        <w:tc>
          <w:tcPr>
            <w:tcW w:w="440" w:type="dxa"/>
            <w:vAlign w:val="bottom"/>
            <w:gridSpan w:val="3"/>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4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275886"/>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275886"/>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shd w:val="clear" w:color="auto" w:fill="275886"/>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shd w:val="clear" w:color="auto" w:fill="275886"/>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shd w:val="clear" w:color="auto" w:fill="275886"/>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275886"/>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27588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275886"/>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shd w:val="clear" w:color="auto" w:fill="275886"/>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shd w:val="clear" w:color="auto" w:fill="275886"/>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shd w:val="clear" w:color="auto" w:fill="275886"/>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712E"/>
              </w:rPr>
              <w:t>Increase in</w:t>
            </w:r>
          </w:p>
        </w:tc>
        <w:tc>
          <w:tcPr>
            <w:tcW w:w="0" w:type="dxa"/>
            <w:vAlign w:val="bottom"/>
          </w:tcPr>
          <w:p>
            <w:pPr>
              <w:spacing w:after="0"/>
              <w:rPr>
                <w:sz w:val="1"/>
                <w:szCs w:val="1"/>
                <w:color w:val="auto"/>
              </w:rPr>
            </w:pPr>
          </w:p>
        </w:tc>
      </w:tr>
      <w:tr>
        <w:trPr>
          <w:trHeight w:val="437"/>
        </w:trPr>
        <w:tc>
          <w:tcPr>
            <w:tcW w:w="60" w:type="dxa"/>
            <w:vAlign w:val="bottom"/>
          </w:tcPr>
          <w:p>
            <w:pPr>
              <w:spacing w:after="0"/>
              <w:rPr>
                <w:sz w:val="24"/>
                <w:szCs w:val="24"/>
                <w:color w:val="auto"/>
              </w:rPr>
            </w:pPr>
          </w:p>
        </w:tc>
        <w:tc>
          <w:tcPr>
            <w:tcW w:w="260" w:type="dxa"/>
            <w:vAlign w:val="bottom"/>
            <w:shd w:val="clear" w:color="auto" w:fill="275886"/>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shd w:val="clear" w:color="auto" w:fill="275886"/>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shd w:val="clear" w:color="auto" w:fill="275886"/>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shd w:val="clear" w:color="auto" w:fill="275886"/>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60" w:type="dxa"/>
            <w:vAlign w:val="bottom"/>
            <w:shd w:val="clear" w:color="auto" w:fill="275886"/>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shd w:val="clear" w:color="auto" w:fill="275886"/>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shd w:val="clear" w:color="auto" w:fill="275886"/>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shd w:val="clear" w:color="auto" w:fill="275886"/>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00712E"/>
                <w:w w:val="94"/>
              </w:rPr>
              <w:t>Revenues to</w:t>
            </w:r>
          </w:p>
        </w:tc>
        <w:tc>
          <w:tcPr>
            <w:tcW w:w="0" w:type="dxa"/>
            <w:vAlign w:val="bottom"/>
          </w:tcPr>
          <w:p>
            <w:pPr>
              <w:spacing w:after="0"/>
              <w:rPr>
                <w:sz w:val="1"/>
                <w:szCs w:val="1"/>
                <w:color w:val="auto"/>
              </w:rPr>
            </w:pPr>
          </w:p>
        </w:tc>
      </w:tr>
      <w:tr>
        <w:trPr>
          <w:trHeight w:val="609"/>
        </w:trPr>
        <w:tc>
          <w:tcPr>
            <w:tcW w:w="60" w:type="dxa"/>
            <w:vAlign w:val="bottom"/>
          </w:tcPr>
          <w:p>
            <w:pPr>
              <w:spacing w:after="0"/>
              <w:rPr>
                <w:sz w:val="24"/>
                <w:szCs w:val="24"/>
                <w:color w:val="auto"/>
              </w:rPr>
            </w:pPr>
          </w:p>
        </w:tc>
        <w:tc>
          <w:tcPr>
            <w:tcW w:w="260" w:type="dxa"/>
            <w:vAlign w:val="bottom"/>
            <w:shd w:val="clear" w:color="auto" w:fill="275886"/>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shd w:val="clear" w:color="auto" w:fill="275886"/>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shd w:val="clear" w:color="auto" w:fill="275886"/>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shd w:val="clear" w:color="auto" w:fill="275886"/>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ind w:left="160"/>
              <w:spacing w:after="0" w:line="602" w:lineRule="exact"/>
              <w:rPr>
                <w:sz w:val="20"/>
                <w:szCs w:val="20"/>
                <w:color w:val="auto"/>
              </w:rPr>
            </w:pPr>
            <w:r>
              <w:rPr>
                <w:rFonts w:ascii="Arial" w:cs="Arial" w:eastAsia="Arial" w:hAnsi="Arial"/>
                <w:sz w:val="69"/>
                <w:szCs w:val="69"/>
                <w:b w:val="1"/>
                <w:bCs w:val="1"/>
                <w:color w:val="001E58"/>
                <w:w w:val="89"/>
                <w:vertAlign w:val="superscript"/>
              </w:rPr>
              <w:t>$</w:t>
            </w:r>
            <w:r>
              <w:rPr>
                <w:rFonts w:ascii="Arial" w:cs="Arial" w:eastAsia="Arial" w:hAnsi="Arial"/>
                <w:sz w:val="62"/>
                <w:szCs w:val="62"/>
                <w:b w:val="1"/>
                <w:bCs w:val="1"/>
                <w:color w:val="001E58"/>
                <w:w w:val="89"/>
              </w:rPr>
              <w:t>3</w:t>
            </w:r>
            <w:r>
              <w:rPr>
                <w:rFonts w:ascii="Arial" w:cs="Arial" w:eastAsia="Arial" w:hAnsi="Arial"/>
                <w:sz w:val="46"/>
                <w:szCs w:val="46"/>
                <w:b w:val="1"/>
                <w:bCs w:val="1"/>
                <w:color w:val="001E58"/>
                <w:w w:val="89"/>
              </w:rPr>
              <w:t>.</w:t>
            </w:r>
            <w:r>
              <w:rPr>
                <w:rFonts w:ascii="Arial" w:cs="Arial" w:eastAsia="Arial" w:hAnsi="Arial"/>
                <w:sz w:val="62"/>
                <w:szCs w:val="62"/>
                <w:b w:val="1"/>
                <w:bCs w:val="1"/>
                <w:color w:val="001E58"/>
                <w:w w:val="89"/>
              </w:rPr>
              <w:t>4</w:t>
            </w:r>
          </w:p>
        </w:tc>
        <w:tc>
          <w:tcPr>
            <w:tcW w:w="0" w:type="dxa"/>
            <w:vAlign w:val="bottom"/>
          </w:tcPr>
          <w:p>
            <w:pPr>
              <w:spacing w:after="0"/>
              <w:rPr>
                <w:sz w:val="1"/>
                <w:szCs w:val="1"/>
                <w:color w:val="auto"/>
              </w:rPr>
            </w:pPr>
          </w:p>
        </w:tc>
      </w:tr>
      <w:tr>
        <w:trPr>
          <w:trHeight w:val="226"/>
        </w:trPr>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595959"/>
                <w:w w:val="96"/>
              </w:rPr>
              <w:t>2021</w:t>
            </w: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595959"/>
              </w:rPr>
              <w:t>2022</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595959"/>
              </w:rPr>
              <w:t>2023</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595959"/>
              </w:rPr>
              <w:t>2024</w:t>
            </w:r>
          </w:p>
        </w:tc>
        <w:tc>
          <w:tcPr>
            <w:tcW w:w="560" w:type="dxa"/>
            <w:vAlign w:val="bottom"/>
          </w:tcPr>
          <w:p>
            <w:pPr>
              <w:jc w:val="right"/>
              <w:ind w:right="110"/>
              <w:spacing w:after="0"/>
              <w:rPr>
                <w:sz w:val="20"/>
                <w:szCs w:val="20"/>
                <w:color w:val="auto"/>
              </w:rPr>
            </w:pPr>
            <w:r>
              <w:rPr>
                <w:rFonts w:ascii="Arial" w:cs="Arial" w:eastAsia="Arial" w:hAnsi="Arial"/>
                <w:sz w:val="14"/>
                <w:szCs w:val="14"/>
                <w:b w:val="1"/>
                <w:bCs w:val="1"/>
                <w:color w:val="auto"/>
              </w:rPr>
              <w:t>2025</w:t>
            </w:r>
          </w:p>
        </w:tc>
        <w:tc>
          <w:tcPr>
            <w:tcW w:w="1140" w:type="dxa"/>
            <w:vAlign w:val="bottom"/>
          </w:tcPr>
          <w:p>
            <w:pPr>
              <w:ind w:left="160"/>
              <w:spacing w:after="0"/>
              <w:rPr>
                <w:sz w:val="20"/>
                <w:szCs w:val="20"/>
                <w:color w:val="auto"/>
              </w:rPr>
            </w:pPr>
            <w:r>
              <w:rPr>
                <w:rFonts w:ascii="Arial" w:cs="Arial" w:eastAsia="Arial" w:hAnsi="Arial"/>
                <w:sz w:val="18"/>
                <w:szCs w:val="18"/>
                <w:color w:val="00712E"/>
              </w:rPr>
              <w:t>Billion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margins around 20%. We are extremely proud of the</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coastal team. Their focus on execution, cost discipline, and</w:t>
      </w:r>
    </w:p>
    <w:p>
      <w:pPr>
        <w:spacing w:after="0" w:line="56" w:lineRule="exact"/>
        <w:rPr>
          <w:sz w:val="20"/>
          <w:szCs w:val="20"/>
          <w:color w:val="auto"/>
        </w:rPr>
      </w:pPr>
    </w:p>
    <w:p>
      <w:pPr>
        <w:ind w:left="60"/>
        <w:spacing w:after="0" w:line="146" w:lineRule="exact"/>
        <w:rPr>
          <w:sz w:val="20"/>
          <w:szCs w:val="20"/>
          <w:color w:val="auto"/>
        </w:rPr>
      </w:pPr>
      <w:r>
        <w:rPr>
          <w:rFonts w:ascii="Arial" w:cs="Arial" w:eastAsia="Arial" w:hAnsi="Arial"/>
          <w:sz w:val="12"/>
          <w:szCs w:val="12"/>
          <w:color w:val="auto"/>
        </w:rPr>
        <w:t>VWLYH[PVUHS</w:t>
      </w:r>
      <w:r>
        <w:rPr>
          <w:rFonts w:ascii="PMingLiU" w:cs="PMingLiU" w:eastAsia="PMingLiU" w:hAnsi="PMingLiU"/>
          <w:sz w:val="12"/>
          <w:szCs w:val="12"/>
          <w:color w:val="auto"/>
        </w:rPr>
        <w:t/>
      </w:r>
      <w:r>
        <w:rPr>
          <w:rFonts w:ascii="Arial" w:cs="Arial" w:eastAsia="Arial" w:hAnsi="Arial"/>
          <w:sz w:val="12"/>
          <w:szCs w:val="12"/>
          <w:color w:val="auto"/>
        </w:rPr>
        <w:t>YLSPHIPSP[`</w:t>
      </w:r>
      <w:r>
        <w:rPr>
          <w:rFonts w:ascii="PMingLiU" w:cs="PMingLiU" w:eastAsia="PMingLiU" w:hAnsi="PMingLiU"/>
          <w:sz w:val="12"/>
          <w:szCs w:val="12"/>
          <w:color w:val="auto"/>
        </w:rPr>
        <w:t/>
      </w:r>
      <w:r>
        <w:rPr>
          <w:rFonts w:ascii="Arial" w:cs="Arial" w:eastAsia="Arial" w:hAnsi="Arial"/>
          <w:sz w:val="12"/>
          <w:szCs w:val="12"/>
          <w:color w:val="auto"/>
        </w:rPr>
        <w:t>OHZ</w:t>
      </w:r>
      <w:r>
        <w:rPr>
          <w:rFonts w:ascii="PMingLiU" w:cs="PMingLiU" w:eastAsia="PMingLiU" w:hAnsi="PMingLiU"/>
          <w:sz w:val="12"/>
          <w:szCs w:val="12"/>
          <w:color w:val="auto"/>
        </w:rPr>
        <w:t/>
      </w:r>
      <w:r>
        <w:rPr>
          <w:rFonts w:ascii="Arial" w:cs="Arial" w:eastAsia="Arial" w:hAnsi="Arial"/>
          <w:sz w:val="12"/>
          <w:szCs w:val="12"/>
          <w:color w:val="auto"/>
        </w:rPr>
        <w:t>WVZP[PVULK</w:t>
      </w:r>
      <w:r>
        <w:rPr>
          <w:rFonts w:ascii="PMingLiU" w:cs="PMingLiU" w:eastAsia="PMingLiU" w:hAnsi="PMingLiU"/>
          <w:sz w:val="12"/>
          <w:szCs w:val="12"/>
          <w:color w:val="auto"/>
        </w:rPr>
        <w:t/>
      </w:r>
      <w:r>
        <w:rPr>
          <w:rFonts w:ascii="Arial" w:cs="Arial" w:eastAsia="Arial" w:hAnsi="Arial"/>
          <w:sz w:val="12"/>
          <w:szCs w:val="12"/>
          <w:color w:val="auto"/>
        </w:rPr>
        <w:t>[OL</w:t>
      </w:r>
      <w:r>
        <w:rPr>
          <w:rFonts w:ascii="PMingLiU" w:cs="PMingLiU" w:eastAsia="PMingLiU" w:hAnsi="PMingLiU"/>
          <w:sz w:val="12"/>
          <w:szCs w:val="12"/>
          <w:color w:val="auto"/>
        </w:rPr>
        <w:t/>
      </w:r>
      <w:r>
        <w:rPr>
          <w:rFonts w:ascii="Arial" w:cs="Arial" w:eastAsia="Arial" w:hAnsi="Arial"/>
          <w:sz w:val="12"/>
          <w:szCs w:val="12"/>
          <w:color w:val="auto"/>
        </w:rPr>
        <w:t>I\ZPULZZ</w:t>
      </w:r>
      <w:r>
        <w:rPr>
          <w:rFonts w:ascii="PMingLiU" w:cs="PMingLiU" w:eastAsia="PMingLiU" w:hAnsi="PMingLiU"/>
          <w:sz w:val="12"/>
          <w:szCs w:val="12"/>
          <w:color w:val="auto"/>
        </w:rPr>
        <w:t/>
      </w:r>
      <w:r>
        <w:rPr>
          <w:rFonts w:ascii="Arial" w:cs="Arial" w:eastAsia="Arial" w:hAnsi="Arial"/>
          <w:sz w:val="12"/>
          <w:szCs w:val="12"/>
          <w:color w:val="auto"/>
        </w:rPr>
        <w:t>^LSS</w:t>
      </w:r>
      <w:r>
        <w:rPr>
          <w:rFonts w:ascii="PMingLiU" w:cs="PMingLiU" w:eastAsia="PMingLiU" w:hAnsi="PMingLiU"/>
          <w:sz w:val="12"/>
          <w:szCs w:val="12"/>
          <w:color w:val="auto"/>
        </w:rPr>
        <w:t/>
      </w:r>
      <w:r>
        <w:rPr>
          <w:rFonts w:ascii="Arial" w:cs="Arial" w:eastAsia="Arial" w:hAnsi="Arial"/>
          <w:sz w:val="12"/>
          <w:szCs w:val="12"/>
          <w:color w:val="auto"/>
        </w:rPr>
        <w:t>HUK</w:t>
      </w:r>
      <w:r>
        <w:rPr>
          <w:rFonts w:ascii="PMingLiU" w:cs="PMingLiU" w:eastAsia="PMingLiU" w:hAnsi="PMingLiU"/>
          <w:sz w:val="12"/>
          <w:szCs w:val="12"/>
          <w:color w:val="auto"/>
        </w:rPr>
        <w:t/>
      </w:r>
      <w:r>
        <w:rPr>
          <w:rFonts w:ascii="Arial" w:cs="Arial" w:eastAsia="Arial" w:hAnsi="Arial"/>
          <w:sz w:val="12"/>
          <w:szCs w:val="12"/>
          <w:color w:val="auto"/>
        </w:rPr>
        <w:t>YLÅLJ[Z</w:t>
      </w:r>
    </w:p>
    <w:p>
      <w:pPr>
        <w:spacing w:after="0" w:line="95" w:lineRule="exact"/>
        <w:rPr>
          <w:sz w:val="20"/>
          <w:szCs w:val="20"/>
          <w:color w:val="auto"/>
        </w:rPr>
      </w:pPr>
    </w:p>
    <w:p>
      <w:pPr>
        <w:ind w:left="60"/>
        <w:spacing w:after="0" w:line="182" w:lineRule="exact"/>
        <w:rPr>
          <w:sz w:val="20"/>
          <w:szCs w:val="20"/>
          <w:color w:val="auto"/>
        </w:rPr>
      </w:pP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ZPNUPÄJHU[</w:t>
      </w:r>
      <w:r>
        <w:rPr>
          <w:rFonts w:ascii="PMingLiU" w:cs="PMingLiU" w:eastAsia="PMingLiU" w:hAnsi="PMingLiU"/>
          <w:sz w:val="15"/>
          <w:szCs w:val="15"/>
          <w:color w:val="auto"/>
        </w:rPr>
        <w:t/>
      </w:r>
      <w:r>
        <w:rPr>
          <w:rFonts w:ascii="Arial" w:cs="Arial" w:eastAsia="Arial" w:hAnsi="Arial"/>
          <w:sz w:val="15"/>
          <w:szCs w:val="15"/>
          <w:color w:val="auto"/>
        </w:rPr>
        <w:t>WYVNYLZZ</w:t>
      </w:r>
      <w:r>
        <w:rPr>
          <w:rFonts w:ascii="PMingLiU" w:cs="PMingLiU" w:eastAsia="PMingLiU" w:hAnsi="PMingLiU"/>
          <w:sz w:val="15"/>
          <w:szCs w:val="15"/>
          <w:color w:val="auto"/>
        </w:rPr>
        <w:t/>
      </w:r>
      <w:r>
        <w:rPr>
          <w:rFonts w:ascii="Arial" w:cs="Arial" w:eastAsia="Arial" w:hAnsi="Arial"/>
          <w:sz w:val="15"/>
          <w:szCs w:val="15"/>
          <w:color w:val="auto"/>
        </w:rPr>
        <w:t>THKL</w:t>
      </w:r>
      <w:r>
        <w:rPr>
          <w:rFonts w:ascii="PMingLiU" w:cs="PMingLiU" w:eastAsia="PMingLiU" w:hAnsi="PMingLiU"/>
          <w:sz w:val="15"/>
          <w:szCs w:val="15"/>
          <w:color w:val="auto"/>
        </w:rPr>
        <w:t/>
      </w:r>
      <w:r>
        <w:rPr>
          <w:rFonts w:ascii="Arial" w:cs="Arial" w:eastAsia="Arial" w:hAnsi="Arial"/>
          <w:sz w:val="15"/>
          <w:szCs w:val="15"/>
          <w:color w:val="auto"/>
        </w:rPr>
        <w:t>V]LY</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WHZ[</w:t>
      </w:r>
      <w:r>
        <w:rPr>
          <w:rFonts w:ascii="PMingLiU" w:cs="PMingLiU" w:eastAsia="PMingLiU" w:hAnsi="PMingLiU"/>
          <w:sz w:val="15"/>
          <w:szCs w:val="15"/>
          <w:color w:val="auto"/>
        </w:rPr>
        <w:t/>
      </w:r>
      <w:r>
        <w:rPr>
          <w:rFonts w:ascii="Arial" w:cs="Arial" w:eastAsia="Arial" w:hAnsi="Arial"/>
          <w:sz w:val="15"/>
          <w:szCs w:val="15"/>
          <w:color w:val="auto"/>
        </w:rPr>
        <w:t>ZL]LYHS</w:t>
      </w:r>
      <w:r>
        <w:rPr>
          <w:rFonts w:ascii="PMingLiU" w:cs="PMingLiU" w:eastAsia="PMingLiU" w:hAnsi="PMingLiU"/>
          <w:sz w:val="15"/>
          <w:szCs w:val="15"/>
          <w:color w:val="auto"/>
        </w:rPr>
        <w:t/>
      </w:r>
      <w:r>
        <w:rPr>
          <w:rFonts w:ascii="Arial" w:cs="Arial" w:eastAsia="Arial" w:hAnsi="Arial"/>
          <w:sz w:val="15"/>
          <w:szCs w:val="15"/>
          <w:color w:val="auto"/>
        </w:rPr>
        <w:t>`LHYZ</w:t>
      </w:r>
      <w:r>
        <w:rPr>
          <w:rFonts w:ascii="PMingLiU" w:cs="PMingLiU" w:eastAsia="PMingLiU" w:hAnsi="PMingLiU"/>
          <w:sz w:val="15"/>
          <w:szCs w:val="15"/>
          <w:color w:val="auto"/>
        </w:rPr>
        <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1E58"/>
        </w:rPr>
        <w:t>DISTRIBUTION &amp; SERVICES</w:t>
      </w:r>
    </w:p>
    <w:p>
      <w:pPr>
        <w:spacing w:after="0" w:line="89" w:lineRule="exact"/>
        <w:rPr>
          <w:sz w:val="20"/>
          <w:szCs w:val="20"/>
          <w:color w:val="auto"/>
        </w:rPr>
      </w:pPr>
    </w:p>
    <w:p>
      <w:pPr>
        <w:ind w:left="60" w:right="60"/>
        <w:spacing w:after="0" w:line="333" w:lineRule="auto"/>
        <w:rPr>
          <w:sz w:val="20"/>
          <w:szCs w:val="20"/>
          <w:color w:val="auto"/>
        </w:rPr>
      </w:pPr>
      <w:r>
        <w:rPr>
          <w:rFonts w:ascii="Arial" w:cs="Arial" w:eastAsia="Arial" w:hAnsi="Arial"/>
          <w:sz w:val="15"/>
          <w:szCs w:val="15"/>
          <w:color w:val="auto"/>
        </w:rPr>
        <w:t>KDS made meaningful progress in 2025, led by accelerating mome tum in power generation. Power generation includes prime, behind the meter, contingency backup, stationary and mobile power as customer demand for reliable, 24/7 power continued</w:t>
      </w:r>
    </w:p>
    <w:p>
      <w:pPr>
        <w:spacing w:after="0" w:line="3" w:lineRule="exact"/>
        <w:rPr>
          <w:sz w:val="20"/>
          <w:szCs w:val="20"/>
          <w:color w:val="auto"/>
        </w:rPr>
      </w:pPr>
    </w:p>
    <w:p>
      <w:pPr>
        <w:ind w:left="60" w:right="80"/>
        <w:spacing w:after="0" w:line="232" w:lineRule="exact"/>
        <w:rPr>
          <w:sz w:val="20"/>
          <w:szCs w:val="20"/>
          <w:color w:val="auto"/>
        </w:rPr>
      </w:pPr>
      <w:r>
        <w:rPr>
          <w:rFonts w:ascii="Arial" w:cs="Arial" w:eastAsia="Arial" w:hAnsi="Arial"/>
          <w:sz w:val="13"/>
          <w:szCs w:val="13"/>
          <w:color w:val="auto"/>
        </w:rPr>
        <w:t>to grow. Power generation became an increasingly important JVU[YPI\[VY</w:t>
      </w:r>
      <w:r>
        <w:rPr>
          <w:rFonts w:ascii="PMingLiU" w:cs="PMingLiU" w:eastAsia="PMingLiU" w:hAnsi="PMingLiU"/>
          <w:sz w:val="13"/>
          <w:szCs w:val="13"/>
          <w:color w:val="auto"/>
        </w:rPr>
        <w:t/>
      </w:r>
      <w:r>
        <w:rPr>
          <w:rFonts w:ascii="Arial" w:cs="Arial" w:eastAsia="Arial" w:hAnsi="Arial"/>
          <w:sz w:val="13"/>
          <w:szCs w:val="13"/>
          <w:color w:val="auto"/>
        </w:rPr>
        <w:t>[V</w:t>
      </w:r>
      <w:r>
        <w:rPr>
          <w:rFonts w:ascii="PMingLiU" w:cs="PMingLiU" w:eastAsia="PMingLiU" w:hAnsi="PMingLiU"/>
          <w:sz w:val="13"/>
          <w:szCs w:val="13"/>
          <w:color w:val="auto"/>
        </w:rPr>
        <w:t/>
      </w:r>
      <w:r>
        <w:rPr>
          <w:rFonts w:ascii="Arial" w:cs="Arial" w:eastAsia="Arial" w:hAnsi="Arial"/>
          <w:sz w:val="13"/>
          <w:szCs w:val="13"/>
          <w:color w:val="auto"/>
        </w:rPr>
        <w:t>ZLNTLU[</w:t>
      </w:r>
      <w:r>
        <w:rPr>
          <w:rFonts w:ascii="PMingLiU" w:cs="PMingLiU" w:eastAsia="PMingLiU" w:hAnsi="PMingLiU"/>
          <w:sz w:val="13"/>
          <w:szCs w:val="13"/>
          <w:color w:val="auto"/>
        </w:rPr>
        <w:t/>
      </w:r>
      <w:r>
        <w:rPr>
          <w:rFonts w:ascii="Arial" w:cs="Arial" w:eastAsia="Arial" w:hAnsi="Arial"/>
          <w:sz w:val="13"/>
          <w:szCs w:val="13"/>
          <w:color w:val="auto"/>
        </w:rPr>
        <w:t>WLYMVYTHUJL</w:t>
      </w:r>
      <w:r>
        <w:rPr>
          <w:rFonts w:ascii="PMingLiU" w:cs="PMingLiU" w:eastAsia="PMingLiU" w:hAnsi="PMingLiU"/>
          <w:sz w:val="13"/>
          <w:szCs w:val="13"/>
          <w:color w:val="auto"/>
        </w:rPr>
        <w:t/>
      </w:r>
      <w:r>
        <w:rPr>
          <w:rFonts w:ascii="Arial" w:cs="Arial" w:eastAsia="Arial" w:hAnsi="Arial"/>
          <w:sz w:val="13"/>
          <w:szCs w:val="13"/>
          <w:color w:val="auto"/>
        </w:rPr>
        <w:t>K\YPUN</w:t>
      </w:r>
      <w:r>
        <w:rPr>
          <w:rFonts w:ascii="PMingLiU" w:cs="PMingLiU" w:eastAsia="PMingLiU" w:hAnsi="PMingLiU"/>
          <w:sz w:val="13"/>
          <w:szCs w:val="13"/>
          <w:color w:val="auto"/>
        </w:rPr>
        <w:t/>
      </w:r>
      <w:r>
        <w:rPr>
          <w:rFonts w:ascii="Arial" w:cs="Arial" w:eastAsia="Arial" w:hAnsi="Arial"/>
          <w:sz w:val="13"/>
          <w:szCs w:val="13"/>
          <w:color w:val="auto"/>
        </w:rPr>
        <w:t>[OL</w:t>
      </w:r>
      <w:r>
        <w:rPr>
          <w:rFonts w:ascii="PMingLiU" w:cs="PMingLiU" w:eastAsia="PMingLiU" w:hAnsi="PMingLiU"/>
          <w:sz w:val="13"/>
          <w:szCs w:val="13"/>
          <w:color w:val="auto"/>
        </w:rPr>
        <w:t/>
      </w:r>
      <w:r>
        <w:rPr>
          <w:rFonts w:ascii="Arial" w:cs="Arial" w:eastAsia="Arial" w:hAnsi="Arial"/>
          <w:sz w:val="13"/>
          <w:szCs w:val="13"/>
          <w:color w:val="auto"/>
        </w:rPr>
        <w:t>`LHY</w:t>
      </w:r>
      <w:r>
        <w:rPr>
          <w:rFonts w:ascii="PMingLiU" w:cs="PMingLiU" w:eastAsia="PMingLiU" w:hAnsi="PMingLiU"/>
          <w:sz w:val="13"/>
          <w:szCs w:val="13"/>
          <w:color w:val="auto"/>
        </w:rPr>
        <w:t/>
      </w:r>
      <w:r>
        <w:rPr>
          <w:rFonts w:ascii="Arial" w:cs="Arial" w:eastAsia="Arial" w:hAnsi="Arial"/>
          <w:sz w:val="13"/>
          <w:szCs w:val="13"/>
          <w:color w:val="auto"/>
        </w:rPr>
        <w:t>YLÅLJ[PUN</w:t>
      </w:r>
      <w:r>
        <w:rPr>
          <w:rFonts w:ascii="PMingLiU" w:cs="PMingLiU" w:eastAsia="PMingLiU" w:hAnsi="PMingLiU"/>
          <w:sz w:val="13"/>
          <w:szCs w:val="13"/>
          <w:color w:val="auto"/>
        </w:rPr>
        <w:t/>
      </w:r>
      <w:r>
        <w:rPr>
          <w:rFonts w:ascii="Arial" w:cs="Arial" w:eastAsia="Arial" w:hAnsi="Arial"/>
          <w:sz w:val="13"/>
          <w:szCs w:val="13"/>
          <w:color w:val="auto"/>
        </w:rPr>
        <w:t>[OL</w:t>
      </w:r>
      <w:r>
        <w:rPr>
          <w:rFonts w:ascii="PMingLiU" w:cs="PMingLiU" w:eastAsia="PMingLiU" w:hAnsi="PMingLiU"/>
          <w:sz w:val="13"/>
          <w:szCs w:val="13"/>
          <w:color w:val="auto"/>
        </w:rPr>
        <w:t/>
      </w:r>
      <w:r>
        <w:rPr>
          <w:rFonts w:ascii="Arial" w:cs="Arial" w:eastAsia="Arial" w:hAnsi="Arial"/>
          <w:sz w:val="13"/>
          <w:szCs w:val="13"/>
          <w:color w:val="auto"/>
        </w:rPr>
        <w:t xml:space="preserve"> continued expansion of our portfolio and the strategic focus of the business. While demand remained mixed across certain legacy end markets, disciplined execution across KDS supported higher operating income and margin expansion for the segment.</w:t>
      </w:r>
    </w:p>
    <w:p>
      <w:pPr>
        <w:spacing w:after="0" w:line="292" w:lineRule="exact"/>
        <w:rPr>
          <w:sz w:val="20"/>
          <w:szCs w:val="20"/>
          <w:color w:val="auto"/>
        </w:rPr>
      </w:pPr>
    </w:p>
    <w:p>
      <w:pPr>
        <w:ind w:left="60"/>
        <w:spacing w:after="0" w:line="235" w:lineRule="exact"/>
        <w:rPr>
          <w:sz w:val="20"/>
          <w:szCs w:val="20"/>
          <w:color w:val="auto"/>
        </w:rPr>
      </w:pPr>
      <w:r>
        <w:rPr>
          <w:rFonts w:ascii="Arial" w:cs="Arial" w:eastAsia="Arial" w:hAnsi="Arial"/>
          <w:sz w:val="15"/>
          <w:szCs w:val="15"/>
          <w:color w:val="auto"/>
        </w:rPr>
        <w:t xml:space="preserve">Power generation continued to build momentum in 2025 and be-came a central driver of performance within KDS. Power generation revenues increased 26% year over year, driven by strong execution on backlog, continued order growth, and multiple large project wins as customers increasingly prioritized reliable, behind-the-meter power solutions. Power generation represented approximately </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ZLNTLU[</w:t>
      </w:r>
      <w:r>
        <w:rPr>
          <w:rFonts w:ascii="PMingLiU" w:cs="PMingLiU" w:eastAsia="PMingLiU" w:hAnsi="PMingLiU"/>
          <w:sz w:val="15"/>
          <w:szCs w:val="15"/>
          <w:color w:val="auto"/>
        </w:rPr>
        <w:t/>
      </w:r>
      <w:r>
        <w:rPr>
          <w:rFonts w:ascii="Arial" w:cs="Arial" w:eastAsia="Arial" w:hAnsi="Arial"/>
          <w:sz w:val="15"/>
          <w:szCs w:val="15"/>
          <w:color w:val="auto"/>
        </w:rPr>
        <w:t>YL]LU\LZ</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MV\Y[O</w:t>
      </w:r>
      <w:r>
        <w:rPr>
          <w:rFonts w:ascii="PMingLiU" w:cs="PMingLiU" w:eastAsia="PMingLiU" w:hAnsi="PMingLiU"/>
          <w:sz w:val="15"/>
          <w:szCs w:val="15"/>
          <w:color w:val="auto"/>
        </w:rPr>
        <w:t/>
      </w:r>
      <w:r>
        <w:rPr>
          <w:rFonts w:ascii="Arial" w:cs="Arial" w:eastAsia="Arial" w:hAnsi="Arial"/>
          <w:sz w:val="15"/>
          <w:szCs w:val="15"/>
          <w:color w:val="auto"/>
        </w:rPr>
        <w:t>X\HY[LY</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VWLYH[PUN margins in the high single digits, and contributed meaningfully to the segment’s operating income growth. While supply-related</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constraints led to some delivery variability throughout the year,</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color w:val="auto"/>
        </w:rPr>
        <w:t>ongoing enhancements in operational execution over the course of</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year have positioned the business for robust, sustained growth</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we move into 2026</w:t>
      </w:r>
    </w:p>
    <w:p>
      <w:pPr>
        <w:spacing w:after="0" w:line="296" w:lineRule="exact"/>
        <w:rPr>
          <w:sz w:val="20"/>
          <w:szCs w:val="20"/>
          <w:color w:val="auto"/>
        </w:rPr>
      </w:pPr>
    </w:p>
    <w:p>
      <w:pPr>
        <w:ind w:left="60" w:right="20"/>
        <w:spacing w:after="0" w:line="253" w:lineRule="exact"/>
        <w:rPr>
          <w:sz w:val="20"/>
          <w:szCs w:val="20"/>
          <w:color w:val="auto"/>
        </w:rPr>
      </w:pPr>
      <w:r>
        <w:rPr>
          <w:rFonts w:ascii="Arial" w:cs="Arial" w:eastAsia="Arial" w:hAnsi="Arial"/>
          <w:sz w:val="12"/>
          <w:szCs w:val="12"/>
          <w:color w:val="auto"/>
        </w:rPr>
        <w:t>Commercial and industrial performance was mixed over the course of the year. Demand for marine repair services remained steady, while on-highway markets continued to face headwinds from the weak trucking environment. Despite these dynamics, disciplined execution and cost control supported improved margins and WYVÄ[HIPSP[`</w:t>
      </w:r>
      <w:r>
        <w:rPr>
          <w:rFonts w:ascii="PMingLiU" w:cs="PMingLiU" w:eastAsia="PMingLiU" w:hAnsi="PMingLiU"/>
          <w:sz w:val="12"/>
          <w:szCs w:val="12"/>
          <w:color w:val="auto"/>
        </w:rPr>
        <w:t/>
      </w:r>
      <w:r>
        <w:rPr>
          <w:rFonts w:ascii="Arial" w:cs="Arial" w:eastAsia="Arial" w:hAnsi="Arial"/>
          <w:sz w:val="12"/>
          <w:szCs w:val="12"/>
          <w:color w:val="auto"/>
        </w:rPr>
        <w:t>MVY</w:t>
      </w:r>
      <w:r>
        <w:rPr>
          <w:rFonts w:ascii="PMingLiU" w:cs="PMingLiU" w:eastAsia="PMingLiU" w:hAnsi="PMingLiU"/>
          <w:sz w:val="12"/>
          <w:szCs w:val="12"/>
          <w:color w:val="auto"/>
        </w:rPr>
        <w:t/>
      </w:r>
      <w:r>
        <w:rPr>
          <w:rFonts w:ascii="Arial" w:cs="Arial" w:eastAsia="Arial" w:hAnsi="Arial"/>
          <w:sz w:val="12"/>
          <w:szCs w:val="12"/>
          <w:color w:val="auto"/>
        </w:rPr>
        <w:t>[OL</w:t>
      </w:r>
      <w:r>
        <w:rPr>
          <w:rFonts w:ascii="PMingLiU" w:cs="PMingLiU" w:eastAsia="PMingLiU" w:hAnsi="PMingLiU"/>
          <w:sz w:val="12"/>
          <w:szCs w:val="12"/>
          <w:color w:val="auto"/>
        </w:rPr>
        <w:t/>
      </w:r>
      <w:r>
        <w:rPr>
          <w:rFonts w:ascii="Arial" w:cs="Arial" w:eastAsia="Arial" w:hAnsi="Arial"/>
          <w:sz w:val="12"/>
          <w:szCs w:val="12"/>
          <w:color w:val="auto"/>
        </w:rPr>
        <w:t>M\SS</w:t>
      </w:r>
      <w:r>
        <w:rPr>
          <w:rFonts w:ascii="PMingLiU" w:cs="PMingLiU" w:eastAsia="PMingLiU" w:hAnsi="PMingLiU"/>
          <w:sz w:val="12"/>
          <w:szCs w:val="12"/>
          <w:color w:val="auto"/>
        </w:rPr>
        <w:t/>
      </w:r>
      <w:r>
        <w:rPr>
          <w:rFonts w:ascii="Arial" w:cs="Arial" w:eastAsia="Arial" w:hAnsi="Arial"/>
          <w:sz w:val="12"/>
          <w:szCs w:val="12"/>
          <w:color w:val="auto"/>
        </w:rPr>
        <w:t>`LHY</w:t>
      </w:r>
      <w:r>
        <w:rPr>
          <w:rFonts w:ascii="PMingLiU" w:cs="PMingLiU" w:eastAsia="PMingLiU" w:hAnsi="PMingLiU"/>
          <w:sz w:val="12"/>
          <w:szCs w:val="12"/>
          <w:color w:val="auto"/>
        </w:rPr>
        <w:t/>
      </w:r>
      <w:r>
        <w:rPr>
          <w:rFonts w:ascii="Arial" w:cs="Arial" w:eastAsia="Arial" w:hAnsi="Arial"/>
          <w:sz w:val="12"/>
          <w:szCs w:val="12"/>
          <w:color w:val="auto"/>
        </w:rPr>
        <w:t>^P[O</w:t>
      </w:r>
      <w:r>
        <w:rPr>
          <w:rFonts w:ascii="PMingLiU" w:cs="PMingLiU" w:eastAsia="PMingLiU" w:hAnsi="PMingLiU"/>
          <w:sz w:val="12"/>
          <w:szCs w:val="12"/>
          <w:color w:val="auto"/>
        </w:rPr>
        <w:t/>
      </w:r>
      <w:r>
        <w:rPr>
          <w:rFonts w:ascii="Arial" w:cs="Arial" w:eastAsia="Arial" w:hAnsi="Arial"/>
          <w:sz w:val="12"/>
          <w:szCs w:val="12"/>
          <w:color w:val="auto"/>
        </w:rPr>
        <w:t>VWLYH[PUN</w:t>
      </w:r>
      <w:r>
        <w:rPr>
          <w:rFonts w:ascii="PMingLiU" w:cs="PMingLiU" w:eastAsia="PMingLiU" w:hAnsi="PMingLiU"/>
          <w:sz w:val="12"/>
          <w:szCs w:val="12"/>
          <w:color w:val="auto"/>
        </w:rPr>
        <w:t/>
      </w:r>
      <w:r>
        <w:rPr>
          <w:rFonts w:ascii="Arial" w:cs="Arial" w:eastAsia="Arial" w:hAnsi="Arial"/>
          <w:sz w:val="12"/>
          <w:szCs w:val="12"/>
          <w:color w:val="auto"/>
        </w:rPr>
        <w:t>THYNPUZ</w:t>
      </w:r>
      <w:r>
        <w:rPr>
          <w:rFonts w:ascii="PMingLiU" w:cs="PMingLiU" w:eastAsia="PMingLiU" w:hAnsi="PMingLiU"/>
          <w:sz w:val="12"/>
          <w:szCs w:val="12"/>
          <w:color w:val="auto"/>
        </w:rPr>
        <w:t/>
      </w:r>
      <w:r>
        <w:rPr>
          <w:rFonts w:ascii="Arial" w:cs="Arial" w:eastAsia="Arial" w:hAnsi="Arial"/>
          <w:sz w:val="12"/>
          <w:szCs w:val="12"/>
          <w:color w:val="auto"/>
        </w:rPr>
        <w:t>PU</w:t>
      </w:r>
      <w:r>
        <w:rPr>
          <w:rFonts w:ascii="PMingLiU" w:cs="PMingLiU" w:eastAsia="PMingLiU" w:hAnsi="PMingLiU"/>
          <w:sz w:val="12"/>
          <w:szCs w:val="12"/>
          <w:color w:val="auto"/>
        </w:rPr>
        <w:t/>
      </w:r>
      <w:r>
        <w:rPr>
          <w:rFonts w:ascii="Arial" w:cs="Arial" w:eastAsia="Arial" w:hAnsi="Arial"/>
          <w:sz w:val="12"/>
          <w:szCs w:val="12"/>
          <w:color w:val="auto"/>
        </w:rPr>
        <w:t>[OL</w:t>
      </w:r>
      <w:r>
        <w:rPr>
          <w:rFonts w:ascii="PMingLiU" w:cs="PMingLiU" w:eastAsia="PMingLiU" w:hAnsi="PMingLiU"/>
          <w:sz w:val="12"/>
          <w:szCs w:val="12"/>
          <w:color w:val="auto"/>
        </w:rPr>
        <w:t/>
      </w:r>
      <w:r>
        <w:rPr>
          <w:rFonts w:ascii="Arial" w:cs="Arial" w:eastAsia="Arial" w:hAnsi="Arial"/>
          <w:sz w:val="12"/>
          <w:szCs w:val="12"/>
          <w:color w:val="auto"/>
        </w:rPr>
        <w:t>OPNO</w:t>
      </w:r>
      <w:r>
        <w:rPr>
          <w:rFonts w:ascii="PMingLiU" w:cs="PMingLiU" w:eastAsia="PMingLiU" w:hAnsi="PMingLiU"/>
          <w:sz w:val="12"/>
          <w:szCs w:val="12"/>
          <w:color w:val="auto"/>
        </w:rPr>
        <w:t/>
      </w:r>
      <w:r>
        <w:rPr>
          <w:rFonts w:ascii="Arial" w:cs="Arial" w:eastAsia="Arial" w:hAnsi="Arial"/>
          <w:sz w:val="12"/>
          <w:szCs w:val="12"/>
          <w:color w:val="auto"/>
        </w:rPr>
        <w:t>ZPUNSL digits for the year.</w:t>
      </w: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See Financial Highlights for Adjusted Earnings Per Share reconciliation.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712E"/>
        </w:rPr>
        <w:t>ADJUSTED EARNINGS</w:t>
      </w:r>
    </w:p>
    <w:p>
      <w:pPr>
        <w:spacing w:after="0"/>
        <w:rPr>
          <w:sz w:val="20"/>
          <w:szCs w:val="20"/>
          <w:color w:val="auto"/>
        </w:rPr>
      </w:pPr>
      <w:r>
        <w:rPr>
          <w:rFonts w:ascii="Arial" w:cs="Arial" w:eastAsia="Arial" w:hAnsi="Arial"/>
          <w:sz w:val="16"/>
          <w:szCs w:val="16"/>
          <w:b w:val="1"/>
          <w:bCs w:val="1"/>
          <w:color w:val="00712E"/>
        </w:rPr>
        <w:t>PER SHARE</w:t>
      </w:r>
      <w:r>
        <w:rPr>
          <w:rFonts w:ascii="Arial" w:cs="Arial" w:eastAsia="Arial" w:hAnsi="Arial"/>
          <w:sz w:val="9"/>
          <w:szCs w:val="9"/>
          <w:color w:val="00712E"/>
        </w:rPr>
        <w:t>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$6.33</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595959"/>
              </w:rPr>
              <w:t>$5.46</w:t>
            </w: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62"/>
                <w:szCs w:val="62"/>
                <w:b w:val="1"/>
                <w:bCs w:val="1"/>
                <w:color w:val="001E58"/>
              </w:rPr>
              <w:t>16</w:t>
            </w:r>
            <w:r>
              <w:rPr>
                <w:rFonts w:ascii="Arial" w:cs="Arial" w:eastAsia="Arial" w:hAnsi="Arial"/>
                <w:sz w:val="36"/>
                <w:szCs w:val="36"/>
                <w:b w:val="1"/>
                <w:bCs w:val="1"/>
                <w:color w:val="001E58"/>
              </w:rPr>
              <w: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shd w:val="clear" w:color="auto" w:fill="00712E"/>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595959"/>
              </w:rPr>
              <w:t>$3.72</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shd w:val="clear" w:color="auto" w:fill="00712E"/>
          </w:tcPr>
          <w:p>
            <w:pPr>
              <w:spacing w:after="0"/>
              <w:rPr>
                <w:sz w:val="6"/>
                <w:szCs w:val="6"/>
                <w:color w:val="auto"/>
              </w:rPr>
            </w:pPr>
          </w:p>
        </w:tc>
        <w:tc>
          <w:tcPr>
            <w:tcW w:w="18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7"/>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shd w:val="clear" w:color="auto" w:fill="275886"/>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shd w:val="clear" w:color="auto" w:fill="00712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shd w:val="clear" w:color="auto" w:fill="00712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595959"/>
              </w:rPr>
              <w:t>$2.10</w:t>
            </w:r>
          </w:p>
        </w:tc>
        <w:tc>
          <w:tcPr>
            <w:tcW w:w="100" w:type="dxa"/>
            <w:vAlign w:val="bottom"/>
          </w:tcPr>
          <w:p>
            <w:pPr>
              <w:spacing w:after="0"/>
              <w:rPr>
                <w:sz w:val="18"/>
                <w:szCs w:val="18"/>
                <w:color w:val="auto"/>
              </w:rPr>
            </w:pPr>
          </w:p>
        </w:tc>
        <w:tc>
          <w:tcPr>
            <w:tcW w:w="280" w:type="dxa"/>
            <w:vAlign w:val="bottom"/>
            <w:shd w:val="clear" w:color="auto" w:fill="275886"/>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275886"/>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00712E"/>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00712E"/>
              </w:rPr>
              <w:t>Increase in</w:t>
            </w: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shd w:val="clear" w:color="auto" w:fill="275886"/>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shd w:val="clear" w:color="auto" w:fill="275886"/>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shd w:val="clear" w:color="auto" w:fill="00712E"/>
          </w:tcPr>
          <w:p>
            <w:pPr>
              <w:spacing w:after="0"/>
              <w:rPr>
                <w:sz w:val="6"/>
                <w:szCs w:val="6"/>
                <w:color w:val="auto"/>
              </w:rPr>
            </w:pPr>
          </w:p>
        </w:tc>
        <w:tc>
          <w:tcPr>
            <w:tcW w:w="180" w:type="dxa"/>
            <w:vAlign w:val="bottom"/>
          </w:tcPr>
          <w:p>
            <w:pPr>
              <w:spacing w:after="0"/>
              <w:rPr>
                <w:sz w:val="6"/>
                <w:szCs w:val="6"/>
                <w:color w:val="auto"/>
              </w:rPr>
            </w:pPr>
          </w:p>
        </w:tc>
        <w:tc>
          <w:tcPr>
            <w:tcW w:w="1600" w:type="dxa"/>
            <w:vAlign w:val="bottom"/>
            <w:gridSpan w:val="2"/>
            <w:vMerge w:val="restart"/>
          </w:tcPr>
          <w:p>
            <w:pPr>
              <w:ind w:left="160"/>
              <w:spacing w:after="0" w:line="188" w:lineRule="exact"/>
              <w:rPr>
                <w:sz w:val="20"/>
                <w:szCs w:val="20"/>
                <w:color w:val="auto"/>
              </w:rPr>
            </w:pPr>
            <w:r>
              <w:rPr>
                <w:rFonts w:ascii="Arial" w:cs="Arial" w:eastAsia="Arial" w:hAnsi="Arial"/>
                <w:sz w:val="18"/>
                <w:szCs w:val="18"/>
                <w:color w:val="00712E"/>
                <w:w w:val="97"/>
              </w:rPr>
              <w:t>Adjusted Earnings</w:t>
            </w:r>
          </w:p>
        </w:tc>
        <w:tc>
          <w:tcPr>
            <w:tcW w:w="0" w:type="dxa"/>
            <w:vAlign w:val="bottom"/>
          </w:tcPr>
          <w:p>
            <w:pPr>
              <w:spacing w:after="0"/>
              <w:rPr>
                <w:sz w:val="1"/>
                <w:szCs w:val="1"/>
                <w:color w:val="auto"/>
              </w:rPr>
            </w:pPr>
          </w:p>
        </w:tc>
      </w:tr>
      <w:tr>
        <w:trPr>
          <w:trHeight w:val="110"/>
        </w:trPr>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275886"/>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275886"/>
            </w:tcBorders>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275886"/>
            </w:tcBorders>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00712E"/>
            </w:tcBorders>
            <w:shd w:val="clear" w:color="auto" w:fill="00712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275886"/>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shd w:val="clear" w:color="auto" w:fill="275886"/>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shd w:val="clear" w:color="auto" w:fill="275886"/>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shd w:val="clear" w:color="auto" w:fill="00712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160"/>
              <w:spacing w:after="0" w:line="176" w:lineRule="exact"/>
              <w:rPr>
                <w:sz w:val="20"/>
                <w:szCs w:val="20"/>
                <w:color w:val="auto"/>
              </w:rPr>
            </w:pPr>
            <w:r>
              <w:rPr>
                <w:rFonts w:ascii="Arial" w:cs="Arial" w:eastAsia="Arial" w:hAnsi="Arial"/>
                <w:sz w:val="18"/>
                <w:szCs w:val="18"/>
                <w:color w:val="00712E"/>
              </w:rPr>
              <w:t>per Share to</w:t>
            </w:r>
          </w:p>
        </w:tc>
        <w:tc>
          <w:tcPr>
            <w:tcW w:w="0" w:type="dxa"/>
            <w:vAlign w:val="bottom"/>
          </w:tcPr>
          <w:p>
            <w:pPr>
              <w:spacing w:after="0"/>
              <w:rPr>
                <w:sz w:val="1"/>
                <w:szCs w:val="1"/>
                <w:color w:val="auto"/>
              </w:rPr>
            </w:pPr>
          </w:p>
        </w:tc>
      </w:tr>
      <w:tr>
        <w:trPr>
          <w:trHeight w:val="109"/>
        </w:trPr>
        <w:tc>
          <w:tcPr>
            <w:tcW w:w="400" w:type="dxa"/>
            <w:vAlign w:val="bottom"/>
            <w:gridSpan w:val="2"/>
            <w:vMerge w:val="restart"/>
          </w:tcPr>
          <w:p>
            <w:pPr>
              <w:spacing w:after="0" w:line="158" w:lineRule="exact"/>
              <w:rPr>
                <w:sz w:val="20"/>
                <w:szCs w:val="20"/>
                <w:color w:val="auto"/>
              </w:rPr>
            </w:pPr>
            <w:r>
              <w:rPr>
                <w:rFonts w:ascii="Arial" w:cs="Arial" w:eastAsia="Arial" w:hAnsi="Arial"/>
                <w:sz w:val="14"/>
                <w:szCs w:val="14"/>
                <w:color w:val="595959"/>
              </w:rPr>
              <w:t>$0.56</w:t>
            </w:r>
          </w:p>
        </w:tc>
        <w:tc>
          <w:tcPr>
            <w:tcW w:w="100" w:type="dxa"/>
            <w:vAlign w:val="bottom"/>
          </w:tcPr>
          <w:p>
            <w:pPr>
              <w:spacing w:after="0"/>
              <w:rPr>
                <w:sz w:val="9"/>
                <w:szCs w:val="9"/>
                <w:color w:val="auto"/>
              </w:rPr>
            </w:pPr>
          </w:p>
        </w:tc>
        <w:tc>
          <w:tcPr>
            <w:tcW w:w="260" w:type="dxa"/>
            <w:vAlign w:val="bottom"/>
            <w:shd w:val="clear" w:color="auto" w:fill="275886"/>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shd w:val="clear" w:color="auto" w:fill="275886"/>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shd w:val="clear" w:color="auto" w:fill="00712E"/>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vMerge w:val="restart"/>
          </w:tcPr>
          <w:p>
            <w:pPr>
              <w:ind w:left="160"/>
              <w:spacing w:after="0" w:line="381" w:lineRule="exact"/>
              <w:rPr>
                <w:sz w:val="20"/>
                <w:szCs w:val="20"/>
                <w:color w:val="auto"/>
              </w:rPr>
            </w:pPr>
            <w:r>
              <w:rPr>
                <w:rFonts w:ascii="Arial" w:cs="Arial" w:eastAsia="Arial" w:hAnsi="Arial"/>
                <w:sz w:val="35"/>
                <w:szCs w:val="35"/>
                <w:b w:val="1"/>
                <w:bCs w:val="1"/>
                <w:color w:val="001E58"/>
                <w:w w:val="81"/>
              </w:rPr>
              <w:t>$</w:t>
            </w:r>
          </w:p>
        </w:tc>
        <w:tc>
          <w:tcPr>
            <w:tcW w:w="1260" w:type="dxa"/>
            <w:vAlign w:val="bottom"/>
          </w:tcPr>
          <w:p>
            <w:pPr>
              <w:jc w:val="right"/>
              <w:ind w:right="140"/>
              <w:spacing w:after="0" w:line="109" w:lineRule="exact"/>
              <w:rPr>
                <w:sz w:val="20"/>
                <w:szCs w:val="20"/>
                <w:color w:val="auto"/>
              </w:rPr>
            </w:pPr>
            <w:r>
              <w:rPr>
                <w:rFonts w:ascii="Arial" w:cs="Arial" w:eastAsia="Arial" w:hAnsi="Arial"/>
                <w:sz w:val="12"/>
                <w:szCs w:val="12"/>
                <w:b w:val="1"/>
                <w:bCs w:val="1"/>
                <w:color w:val="001E58"/>
              </w:rPr>
              <w:t>6.33</w:t>
            </w:r>
          </w:p>
        </w:tc>
        <w:tc>
          <w:tcPr>
            <w:tcW w:w="0" w:type="dxa"/>
            <w:vAlign w:val="bottom"/>
          </w:tcPr>
          <w:p>
            <w:pPr>
              <w:spacing w:after="0"/>
              <w:rPr>
                <w:sz w:val="1"/>
                <w:szCs w:val="1"/>
                <w:color w:val="auto"/>
              </w:rPr>
            </w:pPr>
          </w:p>
        </w:tc>
      </w:tr>
      <w:tr>
        <w:trPr>
          <w:trHeight w:val="49"/>
        </w:trPr>
        <w:tc>
          <w:tcPr>
            <w:tcW w:w="4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shd w:val="clear" w:color="auto" w:fill="275886"/>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shd w:val="clear" w:color="auto" w:fill="275886"/>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shd w:val="clear" w:color="auto" w:fill="275886"/>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shd w:val="clear" w:color="auto" w:fill="00712E"/>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shd w:val="clear" w:color="auto" w:fill="275886"/>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shd w:val="clear" w:color="auto" w:fill="275886"/>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shd w:val="clear" w:color="auto" w:fill="275886"/>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shd w:val="clear" w:color="auto" w:fill="00712E"/>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80" w:type="dxa"/>
            <w:vAlign w:val="bottom"/>
            <w:shd w:val="clear" w:color="auto" w:fill="275886"/>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shd w:val="clear" w:color="auto" w:fill="275886"/>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shd w:val="clear" w:color="auto" w:fill="275886"/>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shd w:val="clear" w:color="auto" w:fill="275886"/>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shd w:val="clear" w:color="auto" w:fill="00712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Arial" w:cs="Arial" w:eastAsia="Arial" w:hAnsi="Arial"/>
                <w:sz w:val="14"/>
                <w:szCs w:val="14"/>
                <w:color w:val="595959"/>
              </w:rPr>
              <w:t>2021</w:t>
            </w:r>
          </w:p>
        </w:tc>
        <w:tc>
          <w:tcPr>
            <w:tcW w:w="480" w:type="dxa"/>
            <w:vAlign w:val="bottom"/>
            <w:gridSpan w:val="3"/>
          </w:tcPr>
          <w:p>
            <w:pPr>
              <w:ind w:left="100"/>
              <w:spacing w:after="0"/>
              <w:rPr>
                <w:sz w:val="20"/>
                <w:szCs w:val="20"/>
                <w:color w:val="auto"/>
              </w:rPr>
            </w:pPr>
            <w:r>
              <w:rPr>
                <w:rFonts w:ascii="Arial" w:cs="Arial" w:eastAsia="Arial" w:hAnsi="Arial"/>
                <w:sz w:val="14"/>
                <w:szCs w:val="14"/>
                <w:color w:val="595959"/>
              </w:rPr>
              <w:t>2022</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595959"/>
              </w:rPr>
              <w:t>2023</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595959"/>
              </w:rPr>
              <w:t>2024</w:t>
            </w:r>
          </w:p>
        </w:tc>
        <w:tc>
          <w:tcPr>
            <w:tcW w:w="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Oil and gas activity remained under pressure in 2025 as customers</w:t>
      </w:r>
    </w:p>
    <w:p>
      <w:pPr>
        <w:spacing w:after="0" w:line="68"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JVU[PU\LK</w:t>
      </w:r>
      <w:r>
        <w:rPr>
          <w:rFonts w:ascii="PMingLiU" w:cs="PMingLiU" w:eastAsia="PMingLiU" w:hAnsi="PMingLiU"/>
          <w:sz w:val="13"/>
          <w:szCs w:val="13"/>
          <w:color w:val="auto"/>
        </w:rPr>
        <w:t/>
      </w:r>
      <w:r>
        <w:rPr>
          <w:rFonts w:ascii="Arial" w:cs="Arial" w:eastAsia="Arial" w:hAnsi="Arial"/>
          <w:sz w:val="13"/>
          <w:szCs w:val="13"/>
          <w:color w:val="auto"/>
        </w:rPr>
        <w:t>[V</w:t>
      </w:r>
      <w:r>
        <w:rPr>
          <w:rFonts w:ascii="PMingLiU" w:cs="PMingLiU" w:eastAsia="PMingLiU" w:hAnsi="PMingLiU"/>
          <w:sz w:val="13"/>
          <w:szCs w:val="13"/>
          <w:color w:val="auto"/>
        </w:rPr>
        <w:t/>
      </w:r>
      <w:r>
        <w:rPr>
          <w:rFonts w:ascii="Arial" w:cs="Arial" w:eastAsia="Arial" w:hAnsi="Arial"/>
          <w:sz w:val="13"/>
          <w:szCs w:val="13"/>
          <w:color w:val="auto"/>
        </w:rPr>
        <w:t>TVKLYH[L</w:t>
      </w:r>
      <w:r>
        <w:rPr>
          <w:rFonts w:ascii="PMingLiU" w:cs="PMingLiU" w:eastAsia="PMingLiU" w:hAnsi="PMingLiU"/>
          <w:sz w:val="13"/>
          <w:szCs w:val="13"/>
          <w:color w:val="auto"/>
        </w:rPr>
        <w:t/>
      </w:r>
      <w:r>
        <w:rPr>
          <w:rFonts w:ascii="Arial" w:cs="Arial" w:eastAsia="Arial" w:hAnsi="Arial"/>
          <w:sz w:val="13"/>
          <w:szCs w:val="13"/>
          <w:color w:val="auto"/>
        </w:rPr>
        <w:t>JHWP[HS</w:t>
      </w:r>
      <w:r>
        <w:rPr>
          <w:rFonts w:ascii="PMingLiU" w:cs="PMingLiU" w:eastAsia="PMingLiU" w:hAnsi="PMingLiU"/>
          <w:sz w:val="13"/>
          <w:szCs w:val="13"/>
          <w:color w:val="auto"/>
        </w:rPr>
        <w:t/>
      </w:r>
      <w:r>
        <w:rPr>
          <w:rFonts w:ascii="Arial" w:cs="Arial" w:eastAsia="Arial" w:hAnsi="Arial"/>
          <w:sz w:val="13"/>
          <w:szCs w:val="13"/>
          <w:color w:val="auto"/>
        </w:rPr>
        <w:t>ZWLUKPUN</w:t>
      </w:r>
      <w:r>
        <w:rPr>
          <w:rFonts w:ascii="PMingLiU" w:cs="PMingLiU" w:eastAsia="PMingLiU" w:hAnsi="PMingLiU"/>
          <w:sz w:val="13"/>
          <w:szCs w:val="13"/>
          <w:color w:val="auto"/>
        </w:rPr>
        <w:t/>
      </w:r>
      <w:r>
        <w:rPr>
          <w:rFonts w:ascii="Arial" w:cs="Arial" w:eastAsia="Arial" w:hAnsi="Arial"/>
          <w:sz w:val="13"/>
          <w:szCs w:val="13"/>
          <w:color w:val="auto"/>
        </w:rPr>
        <w:t>VU</w:t>
      </w:r>
      <w:r>
        <w:rPr>
          <w:rFonts w:ascii="PMingLiU" w:cs="PMingLiU" w:eastAsia="PMingLiU" w:hAnsi="PMingLiU"/>
          <w:sz w:val="13"/>
          <w:szCs w:val="13"/>
          <w:color w:val="auto"/>
        </w:rPr>
        <w:t/>
      </w:r>
      <w:r>
        <w:rPr>
          <w:rFonts w:ascii="Arial" w:cs="Arial" w:eastAsia="Arial" w:hAnsi="Arial"/>
          <w:sz w:val="13"/>
          <w:szCs w:val="13"/>
          <w:color w:val="auto"/>
        </w:rPr>
        <w:t>JVU]LU[PVUHS</w:t>
      </w:r>
      <w:r>
        <w:rPr>
          <w:rFonts w:ascii="PMingLiU" w:cs="PMingLiU" w:eastAsia="PMingLiU" w:hAnsi="PMingLiU"/>
          <w:sz w:val="13"/>
          <w:szCs w:val="13"/>
          <w:color w:val="auto"/>
        </w:rPr>
        <w:t/>
      </w:r>
      <w:r>
        <w:rPr>
          <w:rFonts w:ascii="Arial" w:cs="Arial" w:eastAsia="Arial" w:hAnsi="Arial"/>
          <w:sz w:val="13"/>
          <w:szCs w:val="13"/>
          <w:color w:val="auto"/>
        </w:rPr>
        <w:t>LX\PWTLU[</w:t>
      </w:r>
      <w:r>
        <w:rPr>
          <w:rFonts w:ascii="PMingLiU" w:cs="PMingLiU" w:eastAsia="PMingLiU" w:hAnsi="PMingLiU"/>
          <w:sz w:val="13"/>
          <w:szCs w:val="13"/>
          <w:color w:val="auto"/>
        </w:rPr>
        <w:t/>
      </w:r>
    </w:p>
    <w:p>
      <w:pPr>
        <w:spacing w:after="0" w:line="82"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+LTHUK</w:t>
      </w:r>
      <w:r>
        <w:rPr>
          <w:rFonts w:ascii="PMingLiU" w:cs="PMingLiU" w:eastAsia="PMingLiU" w:hAnsi="PMingLiU"/>
          <w:sz w:val="14"/>
          <w:szCs w:val="14"/>
          <w:color w:val="auto"/>
        </w:rPr>
        <w:t/>
      </w:r>
      <w:r>
        <w:rPr>
          <w:rFonts w:ascii="Arial" w:cs="Arial" w:eastAsia="Arial" w:hAnsi="Arial"/>
          <w:sz w:val="14"/>
          <w:szCs w:val="14"/>
          <w:color w:val="auto"/>
        </w:rPr>
        <w:t>MVY</w:t>
      </w:r>
      <w:r>
        <w:rPr>
          <w:rFonts w:ascii="PMingLiU" w:cs="PMingLiU" w:eastAsia="PMingLiU" w:hAnsi="PMingLiU"/>
          <w:sz w:val="14"/>
          <w:szCs w:val="14"/>
          <w:color w:val="auto"/>
        </w:rPr>
        <w:t/>
      </w:r>
      <w:r>
        <w:rPr>
          <w:rFonts w:ascii="Arial" w:cs="Arial" w:eastAsia="Arial" w:hAnsi="Arial"/>
          <w:sz w:val="14"/>
          <w:szCs w:val="14"/>
          <w:color w:val="auto"/>
        </w:rPr>
        <w:t>LSLJ[YPJ</w:t>
      </w:r>
      <w:r>
        <w:rPr>
          <w:rFonts w:ascii="PMingLiU" w:cs="PMingLiU" w:eastAsia="PMingLiU" w:hAnsi="PMingLiU"/>
          <w:sz w:val="14"/>
          <w:szCs w:val="14"/>
          <w:color w:val="auto"/>
        </w:rPr>
        <w:t/>
      </w:r>
      <w:r>
        <w:rPr>
          <w:rFonts w:ascii="Arial" w:cs="Arial" w:eastAsia="Arial" w:hAnsi="Arial"/>
          <w:sz w:val="14"/>
          <w:szCs w:val="14"/>
          <w:color w:val="auto"/>
        </w:rPr>
        <w:t>MYHJ[\YPUN</w:t>
      </w:r>
      <w:r>
        <w:rPr>
          <w:rFonts w:ascii="PMingLiU" w:cs="PMingLiU" w:eastAsia="PMingLiU" w:hAnsi="PMingLiU"/>
          <w:sz w:val="14"/>
          <w:szCs w:val="14"/>
          <w:color w:val="auto"/>
        </w:rPr>
        <w:t/>
      </w:r>
      <w:r>
        <w:rPr>
          <w:rFonts w:ascii="Arial" w:cs="Arial" w:eastAsia="Arial" w:hAnsi="Arial"/>
          <w:sz w:val="14"/>
          <w:szCs w:val="14"/>
          <w:color w:val="auto"/>
        </w:rPr>
        <w:t>LX\PWTLU[</w:t>
      </w:r>
      <w:r>
        <w:rPr>
          <w:rFonts w:ascii="PMingLiU" w:cs="PMingLiU" w:eastAsia="PMingLiU" w:hAnsi="PMingLiU"/>
          <w:sz w:val="14"/>
          <w:szCs w:val="14"/>
          <w:color w:val="auto"/>
        </w:rPr>
        <w:t/>
      </w:r>
      <w:r>
        <w:rPr>
          <w:rFonts w:ascii="Arial" w:cs="Arial" w:eastAsia="Arial" w:hAnsi="Arial"/>
          <w:sz w:val="14"/>
          <w:szCs w:val="14"/>
          <w:color w:val="auto"/>
        </w:rPr>
        <w:t>WYV]PKLK</w:t>
      </w:r>
      <w:r>
        <w:rPr>
          <w:rFonts w:ascii="PMingLiU" w:cs="PMingLiU" w:eastAsia="PMingLiU" w:hAnsi="PMingLiU"/>
          <w:sz w:val="14"/>
          <w:szCs w:val="14"/>
          <w:color w:val="auto"/>
        </w:rPr>
        <w:t/>
      </w:r>
      <w:r>
        <w:rPr>
          <w:rFonts w:ascii="Arial" w:cs="Arial" w:eastAsia="Arial" w:hAnsi="Arial"/>
          <w:sz w:val="14"/>
          <w:szCs w:val="14"/>
          <w:color w:val="auto"/>
        </w:rPr>
        <w:t>TLHUPUNM\S</w:t>
      </w:r>
      <w:r>
        <w:rPr>
          <w:rFonts w:ascii="PMingLiU" w:cs="PMingLiU" w:eastAsia="PMingLiU" w:hAnsi="PMingLiU"/>
          <w:sz w:val="14"/>
          <w:szCs w:val="14"/>
          <w:color w:val="auto"/>
        </w:rPr>
        <w:t/>
      </w:r>
    </w:p>
    <w:p>
      <w:pPr>
        <w:spacing w:after="0" w:line="70" w:lineRule="exact"/>
        <w:rPr>
          <w:sz w:val="20"/>
          <w:szCs w:val="20"/>
          <w:color w:val="auto"/>
        </w:rPr>
      </w:pPr>
    </w:p>
    <w:p>
      <w:pPr>
        <w:ind w:left="20"/>
        <w:spacing w:after="0" w:line="170" w:lineRule="exact"/>
        <w:rPr>
          <w:sz w:val="20"/>
          <w:szCs w:val="20"/>
          <w:color w:val="auto"/>
        </w:rPr>
      </w:pPr>
      <w:r>
        <w:rPr>
          <w:rFonts w:ascii="Arial" w:cs="Arial" w:eastAsia="Arial" w:hAnsi="Arial"/>
          <w:sz w:val="14"/>
          <w:szCs w:val="14"/>
          <w:color w:val="auto"/>
        </w:rPr>
        <w:t>Z\WWVY[</w:t>
      </w:r>
      <w:r>
        <w:rPr>
          <w:rFonts w:ascii="PMingLiU" w:cs="PMingLiU" w:eastAsia="PMingLiU" w:hAnsi="PMingLiU"/>
          <w:sz w:val="14"/>
          <w:szCs w:val="14"/>
          <w:color w:val="auto"/>
        </w:rPr>
        <w:t/>
      </w:r>
      <w:r>
        <w:rPr>
          <w:rFonts w:ascii="Arial" w:cs="Arial" w:eastAsia="Arial" w:hAnsi="Arial"/>
          <w:sz w:val="14"/>
          <w:szCs w:val="14"/>
          <w:color w:val="auto"/>
        </w:rPr>
        <w:t>I\[</w:t>
      </w:r>
      <w:r>
        <w:rPr>
          <w:rFonts w:ascii="PMingLiU" w:cs="PMingLiU" w:eastAsia="PMingLiU" w:hAnsi="PMingLiU"/>
          <w:sz w:val="14"/>
          <w:szCs w:val="14"/>
          <w:color w:val="auto"/>
        </w:rPr>
        <w:t/>
      </w:r>
      <w:r>
        <w:rPr>
          <w:rFonts w:ascii="Arial" w:cs="Arial" w:eastAsia="Arial" w:hAnsi="Arial"/>
          <w:sz w:val="14"/>
          <w:szCs w:val="14"/>
          <w:color w:val="auto"/>
        </w:rPr>
        <w:t>UV[</w:t>
      </w:r>
      <w:r>
        <w:rPr>
          <w:rFonts w:ascii="PMingLiU" w:cs="PMingLiU" w:eastAsia="PMingLiU" w:hAnsi="PMingLiU"/>
          <w:sz w:val="14"/>
          <w:szCs w:val="14"/>
          <w:color w:val="auto"/>
        </w:rPr>
        <w:t/>
      </w:r>
      <w:r>
        <w:rPr>
          <w:rFonts w:ascii="Arial" w:cs="Arial" w:eastAsia="Arial" w:hAnsi="Arial"/>
          <w:sz w:val="14"/>
          <w:szCs w:val="14"/>
          <w:color w:val="auto"/>
        </w:rPr>
        <w:t>LUV\NO</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V</w:t>
      </w:r>
      <w:r>
        <w:rPr>
          <w:rFonts w:ascii="Arial" w:cs="Arial" w:eastAsia="Arial" w:hAnsi="Arial"/>
          <w:sz w:val="14"/>
          <w:szCs w:val="14"/>
          <w:color w:val="auto"/>
        </w:rPr>
        <w:t>ќ</w:t>
      </w:r>
      <w:r>
        <w:rPr>
          <w:rFonts w:ascii="Arial" w:cs="Arial" w:eastAsia="Arial" w:hAnsi="Arial"/>
          <w:sz w:val="14"/>
          <w:szCs w:val="14"/>
          <w:color w:val="auto"/>
        </w:rPr>
        <w:t>ZL[</w:t>
      </w:r>
      <w:r>
        <w:rPr>
          <w:rFonts w:ascii="PMingLiU" w:cs="PMingLiU" w:eastAsia="PMingLiU" w:hAnsi="PMingLiU"/>
          <w:sz w:val="14"/>
          <w:szCs w:val="14"/>
          <w:color w:val="auto"/>
        </w:rPr>
        <w:t/>
      </w:r>
      <w:r>
        <w:rPr>
          <w:rFonts w:ascii="Arial" w:cs="Arial" w:eastAsia="Arial" w:hAnsi="Arial"/>
          <w:sz w:val="14"/>
          <w:szCs w:val="14"/>
          <w:color w:val="auto"/>
        </w:rPr>
        <w:t>ZVM[LY</w:t>
      </w:r>
      <w:r>
        <w:rPr>
          <w:rFonts w:ascii="PMingLiU" w:cs="PMingLiU" w:eastAsia="PMingLiU" w:hAnsi="PMingLiU"/>
          <w:sz w:val="14"/>
          <w:szCs w:val="14"/>
          <w:color w:val="auto"/>
        </w:rPr>
        <w:t/>
      </w:r>
      <w:r>
        <w:rPr>
          <w:rFonts w:ascii="Arial" w:cs="Arial" w:eastAsia="Arial" w:hAnsi="Arial"/>
          <w:sz w:val="14"/>
          <w:szCs w:val="14"/>
          <w:color w:val="auto"/>
        </w:rPr>
        <w:t>HJ[P]P[`</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 xml:space="preserve">JVU]LU[PVUH </w:t>
      </w:r>
      <w:r>
        <w:rPr>
          <w:rFonts w:ascii="PMingLiU" w:cs="PMingLiU" w:eastAsia="PMingLiU" w:hAnsi="PMingLiU"/>
          <w:sz w:val="14"/>
          <w:szCs w:val="14"/>
          <w:color w:val="auto"/>
        </w:rPr>
        <w:t/>
      </w:r>
      <w:r>
        <w:rPr>
          <w:rFonts w:ascii="Arial" w:cs="Arial" w:eastAsia="Arial" w:hAnsi="Arial"/>
          <w:sz w:val="14"/>
          <w:szCs w:val="14"/>
          <w:color w:val="auto"/>
        </w:rPr>
        <w:t>VPS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 gas applications. Despite these market conditions, stronger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execution and disciplined cost management enabled the business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to deliver margins in the low double digits for 2025</w:t>
      </w:r>
    </w:p>
    <w:p>
      <w:pPr>
        <w:spacing w:after="0" w:line="296" w:lineRule="exact"/>
        <w:rPr>
          <w:sz w:val="20"/>
          <w:szCs w:val="20"/>
          <w:color w:val="auto"/>
        </w:rPr>
      </w:pPr>
    </w:p>
    <w:p>
      <w:pPr>
        <w:ind w:right="180"/>
        <w:spacing w:after="0" w:line="230" w:lineRule="exact"/>
        <w:rPr>
          <w:sz w:val="20"/>
          <w:szCs w:val="20"/>
          <w:color w:val="auto"/>
        </w:rPr>
      </w:pPr>
      <w:r>
        <w:rPr>
          <w:rFonts w:ascii="Arial" w:cs="Arial" w:eastAsia="Arial" w:hAnsi="Arial"/>
          <w:sz w:val="13"/>
          <w:szCs w:val="13"/>
          <w:color w:val="auto"/>
        </w:rPr>
        <w:t>Overall, KDS exited 2025 with positive momentum, led by robust activity in power generation, and is exceptionally well positioned to contribute to Kirby’s long-term growth. Our teams executed ^LSS</w:t>
      </w:r>
      <w:r>
        <w:rPr>
          <w:rFonts w:ascii="PMingLiU" w:cs="PMingLiU" w:eastAsia="PMingLiU" w:hAnsi="PMingLiU"/>
          <w:sz w:val="13"/>
          <w:szCs w:val="13"/>
          <w:color w:val="auto"/>
        </w:rPr>
        <w:t/>
      </w:r>
      <w:r>
        <w:rPr>
          <w:rFonts w:ascii="Arial" w:cs="Arial" w:eastAsia="Arial" w:hAnsi="Arial"/>
          <w:sz w:val="13"/>
          <w:szCs w:val="13"/>
          <w:color w:val="auto"/>
        </w:rPr>
        <w:t>WP]V[PUN</w:t>
      </w:r>
      <w:r>
        <w:rPr>
          <w:rFonts w:ascii="PMingLiU" w:cs="PMingLiU" w:eastAsia="PMingLiU" w:hAnsi="PMingLiU"/>
          <w:sz w:val="13"/>
          <w:szCs w:val="13"/>
          <w:color w:val="auto"/>
        </w:rPr>
        <w:t/>
      </w:r>
      <w:r>
        <w:rPr>
          <w:rFonts w:ascii="Arial" w:cs="Arial" w:eastAsia="Arial" w:hAnsi="Arial"/>
          <w:sz w:val="13"/>
          <w:szCs w:val="13"/>
          <w:color w:val="auto"/>
        </w:rPr>
        <w:t>LX\PWTLU[</w:t>
      </w:r>
      <w:r>
        <w:rPr>
          <w:rFonts w:ascii="PMingLiU" w:cs="PMingLiU" w:eastAsia="PMingLiU" w:hAnsi="PMingLiU"/>
          <w:sz w:val="13"/>
          <w:szCs w:val="13"/>
          <w:color w:val="auto"/>
        </w:rPr>
        <w:t/>
      </w:r>
      <w:r>
        <w:rPr>
          <w:rFonts w:ascii="Arial" w:cs="Arial" w:eastAsia="Arial" w:hAnsi="Arial"/>
          <w:sz w:val="13"/>
          <w:szCs w:val="13"/>
          <w:color w:val="auto"/>
        </w:rPr>
        <w:t>KLZPNU</w:t>
      </w:r>
      <w:r>
        <w:rPr>
          <w:rFonts w:ascii="PMingLiU" w:cs="PMingLiU" w:eastAsia="PMingLiU" w:hAnsi="PMingLiU"/>
          <w:sz w:val="13"/>
          <w:szCs w:val="13"/>
          <w:color w:val="auto"/>
        </w:rPr>
        <w:t/>
      </w:r>
      <w:r>
        <w:rPr>
          <w:rFonts w:ascii="Arial" w:cs="Arial" w:eastAsia="Arial" w:hAnsi="Arial"/>
          <w:sz w:val="13"/>
          <w:szCs w:val="13"/>
          <w:color w:val="auto"/>
        </w:rPr>
        <w:t>MYVT</w:t>
      </w:r>
      <w:r>
        <w:rPr>
          <w:rFonts w:ascii="PMingLiU" w:cs="PMingLiU" w:eastAsia="PMingLiU" w:hAnsi="PMingLiU"/>
          <w:sz w:val="13"/>
          <w:szCs w:val="13"/>
          <w:color w:val="auto"/>
        </w:rPr>
        <w:t/>
      </w:r>
      <w:r>
        <w:rPr>
          <w:rFonts w:ascii="Arial" w:cs="Arial" w:eastAsia="Arial" w:hAnsi="Arial"/>
          <w:sz w:val="13"/>
          <w:szCs w:val="13"/>
          <w:color w:val="auto"/>
        </w:rPr>
        <w:t>SLNHJ`</w:t>
      </w:r>
      <w:r>
        <w:rPr>
          <w:rFonts w:ascii="PMingLiU" w:cs="PMingLiU" w:eastAsia="PMingLiU" w:hAnsi="PMingLiU"/>
          <w:sz w:val="13"/>
          <w:szCs w:val="13"/>
          <w:color w:val="auto"/>
        </w:rPr>
        <w:t/>
      </w:r>
      <w:r>
        <w:rPr>
          <w:rFonts w:ascii="Arial" w:cs="Arial" w:eastAsia="Arial" w:hAnsi="Arial"/>
          <w:sz w:val="13"/>
          <w:szCs w:val="13"/>
          <w:color w:val="auto"/>
        </w:rPr>
        <w:t>VPS</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NHZ</w:t>
      </w:r>
      <w:r>
        <w:rPr>
          <w:rFonts w:ascii="PMingLiU" w:cs="PMingLiU" w:eastAsia="PMingLiU" w:hAnsi="PMingLiU"/>
          <w:sz w:val="13"/>
          <w:szCs w:val="13"/>
          <w:color w:val="auto"/>
        </w:rPr>
        <w:t/>
      </w:r>
      <w:r>
        <w:rPr>
          <w:rFonts w:ascii="Arial" w:cs="Arial" w:eastAsia="Arial" w:hAnsi="Arial"/>
          <w:sz w:val="13"/>
          <w:szCs w:val="13"/>
          <w:color w:val="auto"/>
        </w:rPr>
        <w:t>PU[V</w:t>
      </w:r>
      <w:r>
        <w:rPr>
          <w:rFonts w:ascii="PMingLiU" w:cs="PMingLiU" w:eastAsia="PMingLiU" w:hAnsi="PMingLiU"/>
          <w:sz w:val="13"/>
          <w:szCs w:val="13"/>
          <w:color w:val="auto"/>
        </w:rPr>
        <w:t/>
      </w:r>
      <w:r>
        <w:rPr>
          <w:rFonts w:ascii="Arial" w:cs="Arial" w:eastAsia="Arial" w:hAnsi="Arial"/>
          <w:sz w:val="13"/>
          <w:szCs w:val="13"/>
          <w:color w:val="auto"/>
        </w:rPr>
        <w:t>WV^LY generation solutions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001E58"/>
        </w:rPr>
        <w:t>LOOKING FORWARD</w:t>
      </w:r>
    </w:p>
    <w:p>
      <w:pPr>
        <w:spacing w:after="0" w:line="91"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LUKLK</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Z[YVUN</w:t>
      </w:r>
      <w:r>
        <w:rPr>
          <w:rFonts w:ascii="PMingLiU" w:cs="PMingLiU" w:eastAsia="PMingLiU" w:hAnsi="PMingLiU"/>
          <w:sz w:val="15"/>
          <w:szCs w:val="15"/>
          <w:color w:val="auto"/>
        </w:rPr>
        <w:t/>
      </w:r>
      <w:r>
        <w:rPr>
          <w:rFonts w:ascii="Arial" w:cs="Arial" w:eastAsia="Arial" w:hAnsi="Arial"/>
          <w:sz w:val="15"/>
          <w:szCs w:val="15"/>
          <w:color w:val="auto"/>
        </w:rPr>
        <w:t>ÄUHUJPHS</w:t>
      </w:r>
      <w:r>
        <w:rPr>
          <w:rFonts w:ascii="PMingLiU" w:cs="PMingLiU" w:eastAsia="PMingLiU" w:hAnsi="PMingLiU"/>
          <w:sz w:val="15"/>
          <w:szCs w:val="15"/>
          <w:color w:val="auto"/>
        </w:rPr>
        <w:t/>
      </w:r>
      <w:r>
        <w:rPr>
          <w:rFonts w:ascii="Arial" w:cs="Arial" w:eastAsia="Arial" w:hAnsi="Arial"/>
          <w:sz w:val="15"/>
          <w:szCs w:val="15"/>
          <w:color w:val="auto"/>
        </w:rPr>
        <w:t>WVZP[PVU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ILSPL]L</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HYL</w:t>
      </w:r>
      <w:r>
        <w:rPr>
          <w:rFonts w:ascii="PMingLiU" w:cs="PMingLiU" w:eastAsia="PMingLiU" w:hAnsi="PMingLiU"/>
          <w:sz w:val="15"/>
          <w:szCs w:val="15"/>
          <w:color w:val="auto"/>
        </w:rPr>
        <w:t/>
      </w:r>
    </w:p>
    <w:p>
      <w:pPr>
        <w:spacing w:after="0" w:line="58" w:lineRule="exact"/>
        <w:rPr>
          <w:sz w:val="20"/>
          <w:szCs w:val="20"/>
          <w:color w:val="auto"/>
        </w:rPr>
      </w:pPr>
    </w:p>
    <w:p>
      <w:pPr>
        <w:ind w:right="100"/>
        <w:spacing w:after="0" w:line="235" w:lineRule="exact"/>
        <w:rPr>
          <w:sz w:val="20"/>
          <w:szCs w:val="20"/>
          <w:color w:val="auto"/>
        </w:rPr>
      </w:pPr>
      <w:r>
        <w:rPr>
          <w:rFonts w:ascii="Arial" w:cs="Arial" w:eastAsia="Arial" w:hAnsi="Arial"/>
          <w:sz w:val="14"/>
          <w:szCs w:val="14"/>
          <w:color w:val="auto"/>
        </w:rPr>
        <w:t>well positioned across all our business segments as we enter 2026. While market conditions evolved over the course of last year, we recognize that broader macroeconomic and geopolitical factors may create periods of variability. Against that backdrop, our balance ZOLL[</w:t>
      </w:r>
      <w:r>
        <w:rPr>
          <w:rFonts w:ascii="PMingLiU" w:cs="PMingLiU" w:eastAsia="PMingLiU" w:hAnsi="PMingLiU"/>
          <w:sz w:val="14"/>
          <w:szCs w:val="14"/>
          <w:color w:val="auto"/>
        </w:rPr>
        <w:t/>
      </w:r>
      <w:r>
        <w:rPr>
          <w:rFonts w:ascii="Arial" w:cs="Arial" w:eastAsia="Arial" w:hAnsi="Arial"/>
          <w:sz w:val="14"/>
          <w:szCs w:val="14"/>
          <w:color w:val="auto"/>
        </w:rPr>
        <w:t>Z[YLUN[O</w:t>
      </w:r>
      <w:r>
        <w:rPr>
          <w:rFonts w:ascii="PMingLiU" w:cs="PMingLiU" w:eastAsia="PMingLiU" w:hAnsi="PMingLiU"/>
          <w:sz w:val="14"/>
          <w:szCs w:val="14"/>
          <w:color w:val="auto"/>
        </w:rPr>
        <w:t/>
      </w:r>
      <w:r>
        <w:rPr>
          <w:rFonts w:ascii="Arial" w:cs="Arial" w:eastAsia="Arial" w:hAnsi="Arial"/>
          <w:sz w:val="14"/>
          <w:szCs w:val="14"/>
          <w:color w:val="auto"/>
        </w:rPr>
        <w:t>KPZJPWSPULK</w:t>
      </w:r>
      <w:r>
        <w:rPr>
          <w:rFonts w:ascii="PMingLiU" w:cs="PMingLiU" w:eastAsia="PMingLiU" w:hAnsi="PMingLiU"/>
          <w:sz w:val="14"/>
          <w:szCs w:val="14"/>
          <w:color w:val="auto"/>
        </w:rPr>
        <w:t/>
      </w:r>
      <w:r>
        <w:rPr>
          <w:rFonts w:ascii="Arial" w:cs="Arial" w:eastAsia="Arial" w:hAnsi="Arial"/>
          <w:sz w:val="14"/>
          <w:szCs w:val="14"/>
          <w:color w:val="auto"/>
        </w:rPr>
        <w:t>L_LJ\[PVU</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KP]LYZPÄLK</w:t>
      </w:r>
      <w:r>
        <w:rPr>
          <w:rFonts w:ascii="PMingLiU" w:cs="PMingLiU" w:eastAsia="PMingLiU" w:hAnsi="PMingLiU"/>
          <w:sz w:val="14"/>
          <w:szCs w:val="14"/>
          <w:color w:val="auto"/>
        </w:rPr>
        <w:t/>
      </w:r>
      <w:r>
        <w:rPr>
          <w:rFonts w:ascii="Arial" w:cs="Arial" w:eastAsia="Arial" w:hAnsi="Arial"/>
          <w:sz w:val="14"/>
          <w:szCs w:val="14"/>
          <w:color w:val="auto"/>
        </w:rPr>
        <w:t>WSH[MVYT WYV]PKL</w:t>
      </w:r>
      <w:r>
        <w:rPr>
          <w:rFonts w:ascii="PMingLiU" w:cs="PMingLiU" w:eastAsia="PMingLiU" w:hAnsi="PMingLiU"/>
          <w:sz w:val="14"/>
          <w:szCs w:val="14"/>
          <w:color w:val="auto"/>
        </w:rPr>
        <w:t/>
      </w:r>
      <w:r>
        <w:rPr>
          <w:rFonts w:ascii="Arial" w:cs="Arial" w:eastAsia="Arial" w:hAnsi="Arial"/>
          <w:sz w:val="14"/>
          <w:szCs w:val="14"/>
          <w:color w:val="auto"/>
        </w:rPr>
        <w:t>TLHUPUNM\S</w:t>
      </w:r>
      <w:r>
        <w:rPr>
          <w:rFonts w:ascii="PMingLiU" w:cs="PMingLiU" w:eastAsia="PMingLiU" w:hAnsi="PMingLiU"/>
          <w:sz w:val="14"/>
          <w:szCs w:val="14"/>
          <w:color w:val="auto"/>
        </w:rPr>
        <w:t/>
      </w:r>
      <w:r>
        <w:rPr>
          <w:rFonts w:ascii="Arial" w:cs="Arial" w:eastAsia="Arial" w:hAnsi="Arial"/>
          <w:sz w:val="14"/>
          <w:szCs w:val="14"/>
          <w:color w:val="auto"/>
        </w:rPr>
        <w:t>ÅL_PIPSP[`</w:t>
      </w:r>
      <w:r>
        <w:rPr>
          <w:rFonts w:ascii="PMingLiU" w:cs="PMingLiU" w:eastAsia="PMingLiU" w:hAnsi="PMingLiU"/>
          <w:sz w:val="14"/>
          <w:szCs w:val="14"/>
          <w:color w:val="auto"/>
        </w:rPr>
        <w:t/>
      </w:r>
      <w:r>
        <w:rPr>
          <w:rFonts w:ascii="Arial" w:cs="Arial" w:eastAsia="Arial" w:hAnsi="Arial"/>
          <w:sz w:val="14"/>
          <w:szCs w:val="14"/>
          <w:color w:val="auto"/>
        </w:rPr>
        <w:t>HZ</w:t>
      </w:r>
      <w:r>
        <w:rPr>
          <w:rFonts w:ascii="PMingLiU" w:cs="PMingLiU" w:eastAsia="PMingLiU" w:hAnsi="PMingLiU"/>
          <w:sz w:val="14"/>
          <w:szCs w:val="14"/>
          <w:color w:val="auto"/>
        </w:rPr>
        <w:t/>
      </w:r>
      <w:r>
        <w:rPr>
          <w:rFonts w:ascii="Arial" w:cs="Arial" w:eastAsia="Arial" w:hAnsi="Arial"/>
          <w:sz w:val="14"/>
          <w:szCs w:val="14"/>
          <w:color w:val="auto"/>
        </w:rPr>
        <w:t>^L</w:t>
      </w:r>
      <w:r>
        <w:rPr>
          <w:rFonts w:ascii="PMingLiU" w:cs="PMingLiU" w:eastAsia="PMingLiU" w:hAnsi="PMingLiU"/>
          <w:sz w:val="14"/>
          <w:szCs w:val="14"/>
          <w:color w:val="auto"/>
        </w:rPr>
        <w:t/>
      </w:r>
      <w:r>
        <w:rPr>
          <w:rFonts w:ascii="Arial" w:cs="Arial" w:eastAsia="Arial" w:hAnsi="Arial"/>
          <w:sz w:val="14"/>
          <w:szCs w:val="14"/>
          <w:color w:val="auto"/>
        </w:rPr>
        <w:t>UH]PNH[L</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LU]PYVUTLU[</w:t>
      </w:r>
      <w:r>
        <w:rPr>
          <w:rFonts w:ascii="PMingLiU" w:cs="PMingLiU" w:eastAsia="PMingLiU" w:hAnsi="PMingLiU"/>
          <w:sz w:val="14"/>
          <w:szCs w:val="14"/>
          <w:color w:val="auto"/>
        </w:rPr>
        <w:t/>
      </w:r>
      <w:r>
        <w:rPr>
          <w:rFonts w:ascii="Arial" w:cs="Arial" w:eastAsia="Arial" w:hAnsi="Arial"/>
          <w:sz w:val="14"/>
          <w:szCs w:val="14"/>
          <w:color w:val="auto"/>
        </w:rPr>
        <w:t xml:space="preserve"> &gt;L</w:t>
      </w:r>
      <w:r>
        <w:rPr>
          <w:rFonts w:ascii="PMingLiU" w:cs="PMingLiU" w:eastAsia="PMingLiU" w:hAnsi="PMingLiU"/>
          <w:sz w:val="14"/>
          <w:szCs w:val="14"/>
          <w:color w:val="auto"/>
        </w:rPr>
        <w:t/>
      </w:r>
      <w:r>
        <w:rPr>
          <w:rFonts w:ascii="Arial" w:cs="Arial" w:eastAsia="Arial" w:hAnsi="Arial"/>
          <w:sz w:val="14"/>
          <w:szCs w:val="14"/>
          <w:color w:val="auto"/>
        </w:rPr>
        <w:t>L_WLJ[</w:t>
      </w:r>
      <w:r>
        <w:rPr>
          <w:rFonts w:ascii="PMingLiU" w:cs="PMingLiU" w:eastAsia="PMingLiU" w:hAnsi="PMingLiU"/>
          <w:sz w:val="14"/>
          <w:szCs w:val="14"/>
          <w:color w:val="auto"/>
        </w:rPr>
        <w:t/>
      </w:r>
      <w:r>
        <w:rPr>
          <w:rFonts w:ascii="Arial" w:cs="Arial" w:eastAsia="Arial" w:hAnsi="Arial"/>
          <w:sz w:val="14"/>
          <w:szCs w:val="14"/>
          <w:color w:val="auto"/>
        </w:rPr>
        <w:t>24;</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ILULÄ[</w:t>
      </w:r>
      <w:r>
        <w:rPr>
          <w:rFonts w:ascii="PMingLiU" w:cs="PMingLiU" w:eastAsia="PMingLiU" w:hAnsi="PMingLiU"/>
          <w:sz w:val="14"/>
          <w:szCs w:val="14"/>
          <w:color w:val="auto"/>
        </w:rPr>
        <w:t/>
      </w:r>
      <w:r>
        <w:rPr>
          <w:rFonts w:ascii="Arial" w:cs="Arial" w:eastAsia="Arial" w:hAnsi="Arial"/>
          <w:sz w:val="14"/>
          <w:szCs w:val="14"/>
          <w:color w:val="auto"/>
        </w:rPr>
        <w:t>MYVT</w:t>
      </w:r>
      <w:r>
        <w:rPr>
          <w:rFonts w:ascii="PMingLiU" w:cs="PMingLiU" w:eastAsia="PMingLiU" w:hAnsi="PMingLiU"/>
          <w:sz w:val="14"/>
          <w:szCs w:val="14"/>
          <w:color w:val="auto"/>
        </w:rPr>
        <w:t/>
      </w:r>
      <w:r>
        <w:rPr>
          <w:rFonts w:ascii="Arial" w:cs="Arial" w:eastAsia="Arial" w:hAnsi="Arial"/>
          <w:sz w:val="14"/>
          <w:szCs w:val="14"/>
          <w:color w:val="auto"/>
        </w:rPr>
        <w:t>MH]VYHISL</w:t>
      </w:r>
      <w:r>
        <w:rPr>
          <w:rFonts w:ascii="PMingLiU" w:cs="PMingLiU" w:eastAsia="PMingLiU" w:hAnsi="PMingLiU"/>
          <w:sz w:val="14"/>
          <w:szCs w:val="14"/>
          <w:color w:val="auto"/>
        </w:rPr>
        <w:t/>
      </w:r>
      <w:r>
        <w:rPr>
          <w:rFonts w:ascii="Arial" w:cs="Arial" w:eastAsia="Arial" w:hAnsi="Arial"/>
          <w:sz w:val="14"/>
          <w:szCs w:val="14"/>
          <w:color w:val="auto"/>
        </w:rPr>
        <w:t>SVUN</w:t>
      </w:r>
      <w:r>
        <w:rPr>
          <w:rFonts w:ascii="PMingLiU" w:cs="PMingLiU" w:eastAsia="PMingLiU" w:hAnsi="PMingLiU"/>
          <w:sz w:val="14"/>
          <w:szCs w:val="14"/>
          <w:color w:val="auto"/>
        </w:rPr>
        <w:t/>
      </w:r>
      <w:r>
        <w:rPr>
          <w:rFonts w:ascii="Arial" w:cs="Arial" w:eastAsia="Arial" w:hAnsi="Arial"/>
          <w:sz w:val="14"/>
          <w:szCs w:val="14"/>
          <w:color w:val="auto"/>
        </w:rPr>
        <w:t>[LYT</w:t>
      </w:r>
      <w:r>
        <w:rPr>
          <w:rFonts w:ascii="PMingLiU" w:cs="PMingLiU" w:eastAsia="PMingLiU" w:hAnsi="PMingLiU"/>
          <w:sz w:val="14"/>
          <w:szCs w:val="14"/>
          <w:color w:val="auto"/>
        </w:rPr>
        <w:t/>
      </w:r>
      <w:r>
        <w:rPr>
          <w:rFonts w:ascii="Arial" w:cs="Arial" w:eastAsia="Arial" w:hAnsi="Arial"/>
          <w:sz w:val="14"/>
          <w:szCs w:val="14"/>
          <w:color w:val="auto"/>
        </w:rPr>
        <w:t>Z\WWS`</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 xml:space="preserve"> demand dynamics, and we see KDS continuing to capitalize on strong growth in power generation</w:t>
      </w:r>
    </w:p>
    <w:p>
      <w:pPr>
        <w:spacing w:after="0" w:line="292" w:lineRule="exact"/>
        <w:rPr>
          <w:sz w:val="20"/>
          <w:szCs w:val="20"/>
          <w:color w:val="auto"/>
        </w:rPr>
      </w:pPr>
    </w:p>
    <w:p>
      <w:pPr>
        <w:jc w:val="both"/>
        <w:ind w:right="460"/>
        <w:spacing w:after="0" w:line="223" w:lineRule="exact"/>
        <w:rPr>
          <w:sz w:val="20"/>
          <w:szCs w:val="20"/>
          <w:color w:val="auto"/>
        </w:rPr>
      </w:pPr>
      <w:r>
        <w:rPr>
          <w:rFonts w:ascii="Arial" w:cs="Arial" w:eastAsia="Arial" w:hAnsi="Arial"/>
          <w:sz w:val="14"/>
          <w:szCs w:val="14"/>
          <w:color w:val="auto"/>
        </w:rPr>
        <w:t>-VY</w:t>
      </w:r>
      <w:r>
        <w:rPr>
          <w:rFonts w:ascii="PMingLiU" w:cs="PMingLiU" w:eastAsia="PMingLiU" w:hAnsi="PMingLiU"/>
          <w:sz w:val="14"/>
          <w:szCs w:val="14"/>
          <w:color w:val="auto"/>
        </w:rPr>
        <w:t/>
      </w:r>
      <w:r>
        <w:rPr>
          <w:rFonts w:ascii="Arial" w:cs="Arial" w:eastAsia="Arial" w:hAnsi="Arial"/>
          <w:sz w:val="14"/>
          <w:szCs w:val="14"/>
          <w:color w:val="auto"/>
        </w:rPr>
        <w:t>24;</w:t>
      </w:r>
      <w:r>
        <w:rPr>
          <w:rFonts w:ascii="PMingLiU" w:cs="PMingLiU" w:eastAsia="PMingLiU" w:hAnsi="PMingLiU"/>
          <w:sz w:val="14"/>
          <w:szCs w:val="14"/>
          <w:color w:val="auto"/>
        </w:rPr>
        <w:t/>
      </w:r>
      <w:r>
        <w:rPr>
          <w:rFonts w:ascii="Arial" w:cs="Arial" w:eastAsia="Arial" w:hAnsi="Arial"/>
          <w:sz w:val="14"/>
          <w:szCs w:val="14"/>
          <w:color w:val="auto"/>
        </w:rPr>
        <w:t>TVYL</w:t>
      </w:r>
      <w:r>
        <w:rPr>
          <w:rFonts w:ascii="PMingLiU" w:cs="PMingLiU" w:eastAsia="PMingLiU" w:hAnsi="PMingLiU"/>
          <w:sz w:val="14"/>
          <w:szCs w:val="14"/>
          <w:color w:val="auto"/>
        </w:rPr>
        <w:t/>
      </w:r>
      <w:r>
        <w:rPr>
          <w:rFonts w:ascii="Arial" w:cs="Arial" w:eastAsia="Arial" w:hAnsi="Arial"/>
          <w:sz w:val="14"/>
          <w:szCs w:val="14"/>
          <w:color w:val="auto"/>
        </w:rPr>
        <w:t>ZWLJPÄJHSS`</w:t>
      </w:r>
      <w:r>
        <w:rPr>
          <w:rFonts w:ascii="PMingLiU" w:cs="PMingLiU" w:eastAsia="PMingLiU" w:hAnsi="PMingLiU"/>
          <w:sz w:val="14"/>
          <w:szCs w:val="14"/>
          <w:color w:val="auto"/>
        </w:rPr>
        <w:t/>
      </w:r>
      <w:r>
        <w:rPr>
          <w:rFonts w:ascii="Arial" w:cs="Arial" w:eastAsia="Arial" w:hAnsi="Arial"/>
          <w:sz w:val="14"/>
          <w:szCs w:val="14"/>
          <w:color w:val="auto"/>
        </w:rPr>
        <w:t>^L</w:t>
      </w:r>
      <w:r>
        <w:rPr>
          <w:rFonts w:ascii="PMingLiU" w:cs="PMingLiU" w:eastAsia="PMingLiU" w:hAnsi="PMingLiU"/>
          <w:sz w:val="14"/>
          <w:szCs w:val="14"/>
          <w:color w:val="auto"/>
        </w:rPr>
        <w:t/>
      </w:r>
      <w:r>
        <w:rPr>
          <w:rFonts w:ascii="Arial" w:cs="Arial" w:eastAsia="Arial" w:hAnsi="Arial"/>
          <w:sz w:val="14"/>
          <w:szCs w:val="14"/>
          <w:color w:val="auto"/>
        </w:rPr>
        <w:t>JVU[PU\L</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HU[PJPWH[L</w:t>
      </w:r>
      <w:r>
        <w:rPr>
          <w:rFonts w:ascii="PMingLiU" w:cs="PMingLiU" w:eastAsia="PMingLiU" w:hAnsi="PMingLiU"/>
          <w:sz w:val="14"/>
          <w:szCs w:val="14"/>
          <w:color w:val="auto"/>
        </w:rPr>
        <w:t/>
      </w:r>
      <w:r>
        <w:rPr>
          <w:rFonts w:ascii="Arial" w:cs="Arial" w:eastAsia="Arial" w:hAnsi="Arial"/>
          <w:sz w:val="14"/>
          <w:szCs w:val="14"/>
          <w:color w:val="auto"/>
        </w:rPr>
        <w:t>MH]VYHISL</w:t>
      </w:r>
      <w:r>
        <w:rPr>
          <w:rFonts w:ascii="PMingLiU" w:cs="PMingLiU" w:eastAsia="PMingLiU" w:hAnsi="PMingLiU"/>
          <w:sz w:val="14"/>
          <w:szCs w:val="14"/>
          <w:color w:val="auto"/>
        </w:rPr>
        <w:t/>
      </w:r>
      <w:r>
        <w:rPr>
          <w:rFonts w:ascii="Arial" w:cs="Arial" w:eastAsia="Arial" w:hAnsi="Arial"/>
          <w:sz w:val="14"/>
          <w:szCs w:val="14"/>
          <w:color w:val="auto"/>
        </w:rPr>
        <w:t xml:space="preserve"> supply and demand fundamentals in inland marine, supported I`</w:t>
      </w:r>
      <w:r>
        <w:rPr>
          <w:rFonts w:ascii="PMingLiU" w:cs="PMingLiU" w:eastAsia="PMingLiU" w:hAnsi="PMingLiU"/>
          <w:sz w:val="14"/>
          <w:szCs w:val="14"/>
          <w:color w:val="auto"/>
        </w:rPr>
        <w:t/>
      </w:r>
      <w:r>
        <w:rPr>
          <w:rFonts w:ascii="Arial" w:cs="Arial" w:eastAsia="Arial" w:hAnsi="Arial"/>
          <w:sz w:val="14"/>
          <w:szCs w:val="14"/>
          <w:color w:val="auto"/>
        </w:rPr>
        <w:t>SPTP[LK</w:t>
      </w:r>
      <w:r>
        <w:rPr>
          <w:rFonts w:ascii="PMingLiU" w:cs="PMingLiU" w:eastAsia="PMingLiU" w:hAnsi="PMingLiU"/>
          <w:sz w:val="14"/>
          <w:szCs w:val="14"/>
          <w:color w:val="auto"/>
        </w:rPr>
        <w:t/>
      </w:r>
      <w:r>
        <w:rPr>
          <w:rFonts w:ascii="Arial" w:cs="Arial" w:eastAsia="Arial" w:hAnsi="Arial"/>
          <w:sz w:val="14"/>
          <w:szCs w:val="14"/>
          <w:color w:val="auto"/>
        </w:rPr>
        <w:t>UL^</w:t>
      </w:r>
      <w:r>
        <w:rPr>
          <w:rFonts w:ascii="PMingLiU" w:cs="PMingLiU" w:eastAsia="PMingLiU" w:hAnsi="PMingLiU"/>
          <w:sz w:val="14"/>
          <w:szCs w:val="14"/>
          <w:color w:val="auto"/>
        </w:rPr>
        <w:t/>
      </w:r>
      <w:r>
        <w:rPr>
          <w:rFonts w:ascii="Arial" w:cs="Arial" w:eastAsia="Arial" w:hAnsi="Arial"/>
          <w:sz w:val="14"/>
          <w:szCs w:val="14"/>
          <w:color w:val="auto"/>
        </w:rPr>
        <w:t>IHYNL</w:t>
      </w:r>
      <w:r>
        <w:rPr>
          <w:rFonts w:ascii="PMingLiU" w:cs="PMingLiU" w:eastAsia="PMingLiU" w:hAnsi="PMingLiU"/>
          <w:sz w:val="14"/>
          <w:szCs w:val="14"/>
          <w:color w:val="auto"/>
        </w:rPr>
        <w:t/>
      </w:r>
      <w:r>
        <w:rPr>
          <w:rFonts w:ascii="Arial" w:cs="Arial" w:eastAsia="Arial" w:hAnsi="Arial"/>
          <w:sz w:val="14"/>
          <w:szCs w:val="14"/>
          <w:color w:val="auto"/>
        </w:rPr>
        <w:t>JVUZ[Y\J[PVU</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HU</w:t>
      </w:r>
      <w:r>
        <w:rPr>
          <w:rFonts w:ascii="PMingLiU" w:cs="PMingLiU" w:eastAsia="PMingLiU" w:hAnsi="PMingLiU"/>
          <w:sz w:val="14"/>
          <w:szCs w:val="14"/>
          <w:color w:val="auto"/>
        </w:rPr>
        <w:t/>
      </w:r>
      <w:r>
        <w:rPr>
          <w:rFonts w:ascii="Arial" w:cs="Arial" w:eastAsia="Arial" w:hAnsi="Arial"/>
          <w:sz w:val="14"/>
          <w:szCs w:val="14"/>
          <w:color w:val="auto"/>
        </w:rPr>
        <w:t>HNPUN</w:t>
      </w:r>
      <w:r>
        <w:rPr>
          <w:rFonts w:ascii="PMingLiU" w:cs="PMingLiU" w:eastAsia="PMingLiU" w:hAnsi="PMingLiU"/>
          <w:sz w:val="14"/>
          <w:szCs w:val="14"/>
          <w:color w:val="auto"/>
        </w:rPr>
        <w:t/>
      </w:r>
      <w:r>
        <w:rPr>
          <w:rFonts w:ascii="Arial" w:cs="Arial" w:eastAsia="Arial" w:hAnsi="Arial"/>
          <w:sz w:val="14"/>
          <w:szCs w:val="14"/>
          <w:color w:val="auto"/>
        </w:rPr>
        <w:t>PUK\Z[Y`</w:t>
      </w:r>
      <w:r>
        <w:rPr>
          <w:rFonts w:ascii="PMingLiU" w:cs="PMingLiU" w:eastAsia="PMingLiU" w:hAnsi="PMingLiU"/>
          <w:sz w:val="14"/>
          <w:szCs w:val="14"/>
          <w:color w:val="auto"/>
        </w:rPr>
        <w:t/>
      </w:r>
      <w:r>
        <w:rPr>
          <w:rFonts w:ascii="Arial" w:cs="Arial" w:eastAsia="Arial" w:hAnsi="Arial"/>
          <w:sz w:val="14"/>
          <w:szCs w:val="14"/>
          <w:color w:val="auto"/>
        </w:rPr>
        <w:t>ÅLL[</w:t>
      </w:r>
      <w:r>
        <w:rPr>
          <w:rFonts w:ascii="PMingLiU" w:cs="PMingLiU" w:eastAsia="PMingLiU" w:hAnsi="PMingLiU"/>
          <w:sz w:val="14"/>
          <w:szCs w:val="14"/>
          <w:color w:val="auto"/>
        </w:rPr>
        <w:t/>
      </w:r>
    </w:p>
    <w:p>
      <w:pPr>
        <w:spacing w:after="0" w:line="53" w:lineRule="exact"/>
        <w:rPr>
          <w:sz w:val="20"/>
          <w:szCs w:val="20"/>
          <w:color w:val="auto"/>
        </w:rPr>
      </w:pPr>
    </w:p>
    <w:p>
      <w:pPr>
        <w:ind w:right="80" w:firstLine="11"/>
        <w:spacing w:after="0" w:line="235" w:lineRule="exact"/>
        <w:rPr>
          <w:sz w:val="20"/>
          <w:szCs w:val="20"/>
          <w:color w:val="auto"/>
        </w:rPr>
      </w:pPr>
      <w:r>
        <w:rPr>
          <w:rFonts w:ascii="Arial" w:cs="Arial" w:eastAsia="Arial" w:hAnsi="Arial"/>
          <w:sz w:val="14"/>
          <w:szCs w:val="14"/>
          <w:color w:val="auto"/>
        </w:rPr>
        <w:t>9LÄULY`</w:t>
      </w:r>
      <w:r>
        <w:rPr>
          <w:rFonts w:ascii="PMingLiU" w:cs="PMingLiU" w:eastAsia="PMingLiU" w:hAnsi="PMingLiU"/>
          <w:sz w:val="14"/>
          <w:szCs w:val="14"/>
          <w:color w:val="auto"/>
        </w:rPr>
        <w:t/>
      </w:r>
      <w:r>
        <w:rPr>
          <w:rFonts w:ascii="Arial" w:cs="Arial" w:eastAsia="Arial" w:hAnsi="Arial"/>
          <w:sz w:val="14"/>
          <w:szCs w:val="14"/>
          <w:color w:val="auto"/>
        </w:rPr>
        <w:t>\[PSPaH[PVU</w:t>
      </w:r>
      <w:r>
        <w:rPr>
          <w:rFonts w:ascii="PMingLiU" w:cs="PMingLiU" w:eastAsia="PMingLiU" w:hAnsi="PMingLiU"/>
          <w:sz w:val="14"/>
          <w:szCs w:val="14"/>
          <w:color w:val="auto"/>
        </w:rPr>
        <w:t/>
      </w:r>
      <w:r>
        <w:rPr>
          <w:rFonts w:ascii="Arial" w:cs="Arial" w:eastAsia="Arial" w:hAnsi="Arial"/>
          <w:sz w:val="14"/>
          <w:szCs w:val="14"/>
          <w:color w:val="auto"/>
        </w:rPr>
        <w:t>PZ</w:t>
      </w:r>
      <w:r>
        <w:rPr>
          <w:rFonts w:ascii="PMingLiU" w:cs="PMingLiU" w:eastAsia="PMingLiU" w:hAnsi="PMingLiU"/>
          <w:sz w:val="14"/>
          <w:szCs w:val="14"/>
          <w:color w:val="auto"/>
        </w:rPr>
        <w:t/>
      </w:r>
      <w:r>
        <w:rPr>
          <w:rFonts w:ascii="Arial" w:cs="Arial" w:eastAsia="Arial" w:hAnsi="Arial"/>
          <w:sz w:val="14"/>
          <w:szCs w:val="14"/>
          <w:color w:val="auto"/>
        </w:rPr>
        <w:t>L_WLJ[LK</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YLTHPU</w:t>
      </w:r>
      <w:r>
        <w:rPr>
          <w:rFonts w:ascii="PMingLiU" w:cs="PMingLiU" w:eastAsia="PMingLiU" w:hAnsi="PMingLiU"/>
          <w:sz w:val="14"/>
          <w:szCs w:val="14"/>
          <w:color w:val="auto"/>
        </w:rPr>
        <w:t/>
      </w:r>
      <w:r>
        <w:rPr>
          <w:rFonts w:ascii="Arial" w:cs="Arial" w:eastAsia="Arial" w:hAnsi="Arial"/>
          <w:sz w:val="14"/>
          <w:szCs w:val="14"/>
          <w:color w:val="auto"/>
        </w:rPr>
        <w:t>Z[YVUN</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J\YYLU[S` ^LHR</w:t>
      </w:r>
      <w:r>
        <w:rPr>
          <w:rFonts w:ascii="PMingLiU" w:cs="PMingLiU" w:eastAsia="PMingLiU" w:hAnsi="PMingLiU"/>
          <w:sz w:val="14"/>
          <w:szCs w:val="14"/>
          <w:color w:val="auto"/>
        </w:rPr>
        <w:t/>
      </w:r>
      <w:r>
        <w:rPr>
          <w:rFonts w:ascii="Arial" w:cs="Arial" w:eastAsia="Arial" w:hAnsi="Arial"/>
          <w:sz w:val="14"/>
          <w:szCs w:val="14"/>
          <w:color w:val="auto"/>
        </w:rPr>
        <w:t xml:space="preserve"> petrochemical customer demand is expected to improve some-what. With these trends, we expect inland utilization to average in the low-90% range during the year, with pricing improving as the year progresses. We also expect 2026 to be a lower maintenance `LHY</w:t>
      </w:r>
      <w:r>
        <w:rPr>
          <w:rFonts w:ascii="PMingLiU" w:cs="PMingLiU" w:eastAsia="PMingLiU" w:hAnsi="PMingLiU"/>
          <w:sz w:val="14"/>
          <w:szCs w:val="14"/>
          <w:color w:val="auto"/>
        </w:rPr>
        <w:t/>
      </w:r>
      <w:r>
        <w:rPr>
          <w:rFonts w:ascii="Arial" w:cs="Arial" w:eastAsia="Arial" w:hAnsi="Arial"/>
          <w:sz w:val="14"/>
          <w:szCs w:val="14"/>
          <w:color w:val="auto"/>
        </w:rPr>
        <w:t>MVY</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PUSHUK</w:t>
      </w:r>
      <w:r>
        <w:rPr>
          <w:rFonts w:ascii="PMingLiU" w:cs="PMingLiU" w:eastAsia="PMingLiU" w:hAnsi="PMingLiU"/>
          <w:sz w:val="14"/>
          <w:szCs w:val="14"/>
          <w:color w:val="auto"/>
        </w:rPr>
        <w:t/>
      </w:r>
      <w:r>
        <w:rPr>
          <w:rFonts w:ascii="Arial" w:cs="Arial" w:eastAsia="Arial" w:hAnsi="Arial"/>
          <w:sz w:val="14"/>
          <w:szCs w:val="14"/>
          <w:color w:val="auto"/>
        </w:rPr>
        <w:t>ÅLL[</w:t>
      </w:r>
      <w:r>
        <w:rPr>
          <w:rFonts w:ascii="PMingLiU" w:cs="PMingLiU" w:eastAsia="PMingLiU" w:hAnsi="PMingLiU"/>
          <w:sz w:val="14"/>
          <w:szCs w:val="14"/>
          <w:color w:val="auto"/>
        </w:rPr>
        <w:t/>
      </w:r>
      <w:r>
        <w:rPr>
          <w:rFonts w:ascii="Arial" w:cs="Arial" w:eastAsia="Arial" w:hAnsi="Arial"/>
          <w:sz w:val="14"/>
          <w:szCs w:val="14"/>
          <w:color w:val="auto"/>
        </w:rPr>
        <w:t>WYV]PKPUN</w:t>
      </w:r>
      <w:r>
        <w:rPr>
          <w:rFonts w:ascii="PMingLiU" w:cs="PMingLiU" w:eastAsia="PMingLiU" w:hAnsi="PMingLiU"/>
          <w:sz w:val="14"/>
          <w:szCs w:val="14"/>
          <w:color w:val="auto"/>
        </w:rPr>
        <w:t/>
      </w:r>
      <w:r>
        <w:rPr>
          <w:rFonts w:ascii="Arial" w:cs="Arial" w:eastAsia="Arial" w:hAnsi="Arial"/>
          <w:sz w:val="14"/>
          <w:szCs w:val="14"/>
          <w:color w:val="auto"/>
        </w:rPr>
        <w:t>NYLH[LY</w:t>
      </w:r>
      <w:r>
        <w:rPr>
          <w:rFonts w:ascii="PMingLiU" w:cs="PMingLiU" w:eastAsia="PMingLiU" w:hAnsi="PMingLiU"/>
          <w:sz w:val="14"/>
          <w:szCs w:val="14"/>
          <w:color w:val="auto"/>
        </w:rPr>
        <w:t/>
      </w:r>
      <w:r>
        <w:rPr>
          <w:rFonts w:ascii="Arial" w:cs="Arial" w:eastAsia="Arial" w:hAnsi="Arial"/>
          <w:sz w:val="14"/>
          <w:szCs w:val="14"/>
          <w:color w:val="auto"/>
        </w:rPr>
        <w:t>LX\PWTLU[</w:t>
      </w:r>
      <w:r>
        <w:rPr>
          <w:rFonts w:ascii="PMingLiU" w:cs="PMingLiU" w:eastAsia="PMingLiU" w:hAnsi="PMingLiU"/>
          <w:sz w:val="14"/>
          <w:szCs w:val="14"/>
          <w:color w:val="auto"/>
        </w:rPr>
        <w:t/>
      </w:r>
      <w:r>
        <w:rPr>
          <w:rFonts w:ascii="Arial" w:cs="Arial" w:eastAsia="Arial" w:hAnsi="Arial"/>
          <w:sz w:val="14"/>
          <w:szCs w:val="14"/>
          <w:color w:val="auto"/>
        </w:rPr>
        <w:t>H]HPSHIPS [`</w:t>
      </w:r>
      <w:r>
        <w:rPr>
          <w:rFonts w:ascii="PMingLiU" w:cs="PMingLiU" w:eastAsia="PMingLiU" w:hAnsi="PMingLiU"/>
          <w:sz w:val="14"/>
          <w:szCs w:val="14"/>
          <w:color w:val="auto"/>
        </w:rPr>
        <w:t/>
      </w:r>
      <w:r>
        <w:rPr>
          <w:rFonts w:ascii="Arial" w:cs="Arial" w:eastAsia="Arial" w:hAnsi="Arial"/>
          <w:sz w:val="14"/>
          <w:szCs w:val="14"/>
          <w:color w:val="auto"/>
        </w:rPr>
        <w:t>[V support customer demand. While we remain mindful of near-term variability, including seasonal weather impacts, labor availability, HUK</w:t>
      </w:r>
      <w:r>
        <w:rPr>
          <w:rFonts w:ascii="PMingLiU" w:cs="PMingLiU" w:eastAsia="PMingLiU" w:hAnsi="PMingLiU"/>
          <w:sz w:val="14"/>
          <w:szCs w:val="14"/>
          <w:color w:val="auto"/>
        </w:rPr>
        <w:t/>
      </w:r>
      <w:r>
        <w:rPr>
          <w:rFonts w:ascii="Arial" w:cs="Arial" w:eastAsia="Arial" w:hAnsi="Arial"/>
          <w:sz w:val="14"/>
          <w:szCs w:val="14"/>
          <w:color w:val="auto"/>
        </w:rPr>
        <w:t>PUÅH[PVUHY`</w:t>
      </w:r>
      <w:r>
        <w:rPr>
          <w:rFonts w:ascii="PMingLiU" w:cs="PMingLiU" w:eastAsia="PMingLiU" w:hAnsi="PMingLiU"/>
          <w:sz w:val="14"/>
          <w:szCs w:val="14"/>
          <w:color w:val="auto"/>
        </w:rPr>
        <w:t/>
      </w:r>
      <w:r>
        <w:rPr>
          <w:rFonts w:ascii="Arial" w:cs="Arial" w:eastAsia="Arial" w:hAnsi="Arial"/>
          <w:sz w:val="14"/>
          <w:szCs w:val="14"/>
          <w:color w:val="auto"/>
        </w:rPr>
        <w:t>WYLZZ\YLZ</w:t>
      </w:r>
      <w:r>
        <w:rPr>
          <w:rFonts w:ascii="PMingLiU" w:cs="PMingLiU" w:eastAsia="PMingLiU" w:hAnsi="PMingLiU"/>
          <w:sz w:val="14"/>
          <w:szCs w:val="14"/>
          <w:color w:val="auto"/>
        </w:rPr>
        <w:t/>
      </w:r>
      <w:r>
        <w:rPr>
          <w:rFonts w:ascii="Arial" w:cs="Arial" w:eastAsia="Arial" w:hAnsi="Arial"/>
          <w:sz w:val="14"/>
          <w:szCs w:val="14"/>
          <w:color w:val="auto"/>
        </w:rPr>
        <w:t>^L</w:t>
      </w:r>
      <w:r>
        <w:rPr>
          <w:rFonts w:ascii="PMingLiU" w:cs="PMingLiU" w:eastAsia="PMingLiU" w:hAnsi="PMingLiU"/>
          <w:sz w:val="14"/>
          <w:szCs w:val="14"/>
          <w:color w:val="auto"/>
        </w:rPr>
        <w:t/>
      </w:r>
      <w:r>
        <w:rPr>
          <w:rFonts w:ascii="Arial" w:cs="Arial" w:eastAsia="Arial" w:hAnsi="Arial"/>
          <w:sz w:val="14"/>
          <w:szCs w:val="14"/>
          <w:color w:val="auto"/>
        </w:rPr>
        <w:t>ILSPL]L</w:t>
      </w:r>
      <w:r>
        <w:rPr>
          <w:rFonts w:ascii="PMingLiU" w:cs="PMingLiU" w:eastAsia="PMingLiU" w:hAnsi="PMingLiU"/>
          <w:sz w:val="14"/>
          <w:szCs w:val="14"/>
          <w:color w:val="auto"/>
        </w:rPr>
        <w:t/>
      </w:r>
      <w:r>
        <w:rPr>
          <w:rFonts w:ascii="Arial" w:cs="Arial" w:eastAsia="Arial" w:hAnsi="Arial"/>
          <w:sz w:val="14"/>
          <w:szCs w:val="14"/>
          <w:color w:val="auto"/>
        </w:rPr>
        <w:t>JVUKP[PVUZ</w:t>
      </w:r>
      <w:r>
        <w:rPr>
          <w:rFonts w:ascii="PMingLiU" w:cs="PMingLiU" w:eastAsia="PMingLiU" w:hAnsi="PMingLiU"/>
          <w:sz w:val="14"/>
          <w:szCs w:val="14"/>
          <w:color w:val="auto"/>
        </w:rPr>
        <w:t/>
      </w:r>
      <w:r>
        <w:rPr>
          <w:rFonts w:ascii="Arial" w:cs="Arial" w:eastAsia="Arial" w:hAnsi="Arial"/>
          <w:sz w:val="14"/>
          <w:szCs w:val="14"/>
          <w:color w:val="auto"/>
        </w:rPr>
        <w:t>^PSS</w:t>
      </w:r>
      <w:r>
        <w:rPr>
          <w:rFonts w:ascii="PMingLiU" w:cs="PMingLiU" w:eastAsia="PMingLiU" w:hAnsi="PMingLiU"/>
          <w:sz w:val="14"/>
          <w:szCs w:val="14"/>
          <w:color w:val="auto"/>
        </w:rPr>
        <w:t/>
      </w:r>
      <w:r>
        <w:rPr>
          <w:rFonts w:ascii="Arial" w:cs="Arial" w:eastAsia="Arial" w:hAnsi="Arial"/>
          <w:sz w:val="14"/>
          <w:szCs w:val="14"/>
          <w:color w:val="auto"/>
        </w:rPr>
        <w:t>Z\WWVY[</w:t>
      </w:r>
    </w:p>
    <w:p>
      <w:pPr>
        <w:spacing w:after="0" w:line="776" w:lineRule="exact"/>
        <w:rPr>
          <w:sz w:val="20"/>
          <w:szCs w:val="20"/>
          <w:color w:val="auto"/>
        </w:rPr>
      </w:pPr>
    </w:p>
    <w:p>
      <w:pPr>
        <w:sectPr>
          <w:pgSz w:w="12240" w:h="15840" w:orient="portrait"/>
          <w:cols w:equalWidth="0" w:num="2">
            <w:col w:w="4700" w:space="580"/>
            <w:col w:w="4760"/>
          </w:cols>
          <w:pgMar w:left="760" w:top="848" w:right="1440" w:bottom="0" w:gutter="0" w:footer="0" w:header="0"/>
        </w:sectPr>
      </w:pPr>
    </w:p>
    <w:p>
      <w:pPr>
        <w:ind w:left="60"/>
        <w:spacing w:after="0"/>
        <w:tabs>
          <w:tab w:leader="none" w:pos="620" w:val="left"/>
          <w:tab w:leader="none" w:pos="1700" w:val="left"/>
        </w:tabs>
        <w:rPr>
          <w:sz w:val="20"/>
          <w:szCs w:val="20"/>
          <w:color w:val="auto"/>
        </w:rPr>
      </w:pPr>
      <w:r>
        <w:rPr>
          <w:rFonts w:ascii="Arial" w:cs="Arial" w:eastAsia="Arial" w:hAnsi="Arial"/>
          <w:sz w:val="16"/>
          <w:szCs w:val="16"/>
          <w:color w:val="00712E"/>
        </w:rPr>
        <w:t>2</w:t>
      </w:r>
      <w:r>
        <w:rPr>
          <w:sz w:val="20"/>
          <w:szCs w:val="20"/>
          <w:color w:val="auto"/>
        </w:rPr>
        <w:tab/>
      </w:r>
      <w:r>
        <w:rPr>
          <w:rFonts w:ascii="Arial" w:cs="Arial" w:eastAsia="Arial" w:hAnsi="Arial"/>
          <w:sz w:val="12"/>
          <w:szCs w:val="12"/>
          <w:color w:val="4C4C4C"/>
        </w:rPr>
        <w:t>2025 Annual Report</w:t>
      </w:r>
      <w:r>
        <w:rPr>
          <w:sz w:val="20"/>
          <w:szCs w:val="20"/>
          <w:color w:val="auto"/>
        </w:rPr>
        <w:tab/>
      </w:r>
      <w:r>
        <w:rPr>
          <w:rFonts w:ascii="Arial" w:cs="Arial" w:eastAsia="Arial" w:hAnsi="Arial"/>
          <w:sz w:val="10"/>
          <w:szCs w:val="10"/>
          <w:b w:val="1"/>
          <w:bCs w:val="1"/>
          <w:color w:val="00712E"/>
        </w:rPr>
        <w:t>Kirby Corporation</w:t>
      </w:r>
    </w:p>
    <w:p>
      <w:pPr>
        <w:sectPr>
          <w:pgSz w:w="12240" w:h="15840" w:orient="portrait"/>
          <w:cols w:equalWidth="0" w:num="1">
            <w:col w:w="10040"/>
          </w:cols>
          <w:pgMar w:left="760" w:top="848" w:right="1440" w:bottom="0" w:gutter="0" w:footer="0" w:header="0"/>
          <w:type w:val="continuous"/>
        </w:sectPr>
      </w:pPr>
    </w:p>
    <w:bookmarkStart w:id="4" w:name="page5"/>
    <w:bookmarkEnd w:id="4"/>
    <w:p>
      <w:pPr>
        <w:spacing w:after="0" w:line="26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712E"/>
        </w:rPr>
        <w:t>ADJUSTED EBITDA</w:t>
      </w:r>
      <w:r>
        <w:rPr>
          <w:rFonts w:ascii="Arial" w:cs="Arial" w:eastAsia="Arial" w:hAnsi="Arial"/>
          <w:sz w:val="9"/>
          <w:szCs w:val="9"/>
          <w:b w:val="1"/>
          <w:bCs w:val="1"/>
          <w:color w:val="00712E"/>
        </w:rPr>
        <w:t>2</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595959"/>
        </w:rPr>
        <w:t>In Millions</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$781</w:t>
      </w:r>
    </w:p>
    <w:p>
      <w:pPr>
        <w:spacing w:after="0" w:line="31" w:lineRule="exact"/>
        <w:rPr>
          <w:sz w:val="20"/>
          <w:szCs w:val="20"/>
          <w:color w:val="auto"/>
        </w:rPr>
      </w:pPr>
    </w:p>
    <w:p>
      <w:pPr>
        <w:ind w:left="1540"/>
        <w:spacing w:after="0"/>
        <w:rPr>
          <w:sz w:val="20"/>
          <w:szCs w:val="20"/>
          <w:color w:val="auto"/>
        </w:rPr>
      </w:pPr>
      <w:r>
        <w:rPr>
          <w:rFonts w:ascii="Arial" w:cs="Arial" w:eastAsia="Arial" w:hAnsi="Arial"/>
          <w:sz w:val="14"/>
          <w:szCs w:val="14"/>
          <w:color w:val="595959"/>
        </w:rPr>
        <w:t>$708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981710</wp:posOffset>
                </wp:positionH>
                <wp:positionV relativeFrom="paragraph">
                  <wp:posOffset>45085</wp:posOffset>
                </wp:positionV>
                <wp:extent cx="172720" cy="105092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1050925"/>
                        </a:xfrm>
                        <a:prstGeom prst="rect">
                          <a:avLst/>
                        </a:prstGeom>
                        <a:solidFill>
                          <a:srgbClr val="275886"/>
                        </a:solidFill>
                      </wps:spPr>
                      <wps:bodyPr/>
                    </wps:wsp>
                  </a:graphicData>
                </a:graphic>
              </wp:anchor>
            </w:drawing>
          </mc:Choice>
          <mc:Fallback>
            <w:pict>
              <v:rect id="Shape 4" o:spid="_x0000_s1029" style="position:absolute;margin-left:77.3pt;margin-top:3.55pt;width:13.6pt;height:8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mc:AlternateContent>
          <mc:Choice Requires="wps">
            <w:drawing>
              <wp:anchor simplePos="0" relativeHeight="251657728" behindDoc="1" locked="0" layoutInCell="0" allowOverlap="1">
                <wp:simplePos x="0" y="0"/>
                <wp:positionH relativeFrom="column">
                  <wp:posOffset>1290320</wp:posOffset>
                </wp:positionH>
                <wp:positionV relativeFrom="paragraph">
                  <wp:posOffset>-62865</wp:posOffset>
                </wp:positionV>
                <wp:extent cx="172720" cy="11588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1158875"/>
                        </a:xfrm>
                        <a:prstGeom prst="rect">
                          <a:avLst/>
                        </a:prstGeom>
                        <a:solidFill>
                          <a:srgbClr val="00712E"/>
                        </a:solidFill>
                      </wps:spPr>
                      <wps:bodyPr/>
                    </wps:wsp>
                  </a:graphicData>
                </a:graphic>
              </wp:anchor>
            </w:drawing>
          </mc:Choice>
          <mc:Fallback>
            <w:pict>
              <v:rect id="Shape 5" o:spid="_x0000_s1030" style="position:absolute;margin-left:101.6pt;margin-top:-4.9499pt;width:13.6pt;height:9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712E" stroked="f"/>
            </w:pict>
          </mc:Fallback>
        </mc:AlternateConten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4"/>
          <w:szCs w:val="14"/>
          <w:color w:val="595959"/>
        </w:rPr>
        <w:t>$577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675005</wp:posOffset>
                </wp:positionH>
                <wp:positionV relativeFrom="paragraph">
                  <wp:posOffset>45085</wp:posOffset>
                </wp:positionV>
                <wp:extent cx="172720" cy="85915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859155"/>
                        </a:xfrm>
                        <a:prstGeom prst="rect">
                          <a:avLst/>
                        </a:prstGeom>
                        <a:solidFill>
                          <a:srgbClr val="275886"/>
                        </a:solidFill>
                      </wps:spPr>
                      <wps:bodyPr/>
                    </wps:wsp>
                  </a:graphicData>
                </a:graphic>
              </wp:anchor>
            </w:drawing>
          </mc:Choice>
          <mc:Fallback>
            <w:pict>
              <v:rect id="Shape 6" o:spid="_x0000_s1031" style="position:absolute;margin-left:53.15pt;margin-top:3.55pt;width:13.6pt;height:67.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4"/>
          <w:szCs w:val="14"/>
          <w:color w:val="595959"/>
        </w:rPr>
        <w:t>$411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368300</wp:posOffset>
                </wp:positionH>
                <wp:positionV relativeFrom="paragraph">
                  <wp:posOffset>45085</wp:posOffset>
                </wp:positionV>
                <wp:extent cx="172720" cy="61087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610870"/>
                        </a:xfrm>
                        <a:prstGeom prst="rect">
                          <a:avLst/>
                        </a:prstGeom>
                        <a:solidFill>
                          <a:srgbClr val="275886"/>
                        </a:solidFill>
                      </wps:spPr>
                      <wps:bodyPr/>
                    </wps:wsp>
                  </a:graphicData>
                </a:graphic>
              </wp:anchor>
            </w:drawing>
          </mc:Choice>
          <mc:Fallback>
            <w:pict>
              <v:rect id="Shape 7" o:spid="_x0000_s1032" style="position:absolute;margin-left:29pt;margin-top:3.55pt;width:13.6pt;height:4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color w:val="595959"/>
        </w:rPr>
        <w:t>$306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wp:posOffset>
                </wp:positionH>
                <wp:positionV relativeFrom="paragraph">
                  <wp:posOffset>45085</wp:posOffset>
                </wp:positionV>
                <wp:extent cx="172720" cy="45847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458470"/>
                        </a:xfrm>
                        <a:prstGeom prst="rect">
                          <a:avLst/>
                        </a:prstGeom>
                        <a:solidFill>
                          <a:srgbClr val="275886"/>
                        </a:solidFill>
                      </wps:spPr>
                      <wps:bodyPr/>
                    </wps:wsp>
                  </a:graphicData>
                </a:graphic>
              </wp:anchor>
            </w:drawing>
          </mc:Choice>
          <mc:Fallback>
            <w:pict>
              <v:rect id="Shape 8" o:spid="_x0000_s1033" style="position:absolute;margin-left:4.85pt;margin-top:3.55pt;width:13.6pt;height:36.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tabs>
          <w:tab w:leader="none" w:pos="560" w:val="left"/>
          <w:tab w:leader="none" w:pos="1040" w:val="left"/>
          <w:tab w:leader="none" w:pos="1520" w:val="left"/>
          <w:tab w:leader="none" w:pos="2000" w:val="left"/>
        </w:tabs>
        <w:rPr>
          <w:sz w:val="20"/>
          <w:szCs w:val="20"/>
          <w:color w:val="auto"/>
        </w:rPr>
      </w:pPr>
      <w:r>
        <w:rPr>
          <w:rFonts w:ascii="Arial" w:cs="Arial" w:eastAsia="Arial" w:hAnsi="Arial"/>
          <w:sz w:val="14"/>
          <w:szCs w:val="14"/>
          <w:color w:val="595959"/>
        </w:rPr>
        <w:t>2021</w:t>
      </w:r>
      <w:r>
        <w:rPr>
          <w:sz w:val="20"/>
          <w:szCs w:val="20"/>
          <w:color w:val="auto"/>
        </w:rPr>
        <w:tab/>
      </w:r>
      <w:r>
        <w:rPr>
          <w:rFonts w:ascii="Arial" w:cs="Arial" w:eastAsia="Arial" w:hAnsi="Arial"/>
          <w:sz w:val="14"/>
          <w:szCs w:val="14"/>
          <w:color w:val="595959"/>
        </w:rPr>
        <w:t>2022</w:t>
      </w:r>
      <w:r>
        <w:rPr>
          <w:sz w:val="20"/>
          <w:szCs w:val="20"/>
          <w:color w:val="auto"/>
        </w:rPr>
        <w:tab/>
      </w:r>
      <w:r>
        <w:rPr>
          <w:rFonts w:ascii="Arial" w:cs="Arial" w:eastAsia="Arial" w:hAnsi="Arial"/>
          <w:sz w:val="14"/>
          <w:szCs w:val="14"/>
          <w:color w:val="595959"/>
        </w:rPr>
        <w:t>2023</w:t>
      </w:r>
      <w:r>
        <w:rPr>
          <w:sz w:val="20"/>
          <w:szCs w:val="20"/>
          <w:color w:val="auto"/>
        </w:rPr>
        <w:tab/>
      </w:r>
      <w:r>
        <w:rPr>
          <w:rFonts w:ascii="Arial" w:cs="Arial" w:eastAsia="Arial" w:hAnsi="Arial"/>
          <w:sz w:val="14"/>
          <w:szCs w:val="14"/>
          <w:color w:val="595959"/>
        </w:rPr>
        <w:t>2024</w:t>
      </w:r>
      <w:r>
        <w:rPr>
          <w:sz w:val="20"/>
          <w:szCs w:val="20"/>
          <w:color w:val="auto"/>
        </w:rPr>
        <w:tab/>
      </w:r>
      <w:r>
        <w:rPr>
          <w:rFonts w:ascii="Arial" w:cs="Arial" w:eastAsia="Arial" w:hAnsi="Arial"/>
          <w:sz w:val="12"/>
          <w:szCs w:val="12"/>
          <w:b w:val="1"/>
          <w:bCs w:val="1"/>
          <w:color w:val="auto"/>
        </w:rPr>
        <w:t>2025</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00712E"/>
        </w:rPr>
        <w:t>TOTAL DEBT</w:t>
      </w:r>
    </w:p>
    <w:p>
      <w:pPr>
        <w:spacing w:after="0" w:line="18" w:lineRule="exact"/>
        <w:rPr>
          <w:sz w:val="20"/>
          <w:szCs w:val="20"/>
          <w:color w:val="auto"/>
        </w:rPr>
      </w:pPr>
    </w:p>
    <w:p>
      <w:pPr>
        <w:ind w:left="2680"/>
        <w:spacing w:after="0"/>
        <w:rPr>
          <w:sz w:val="20"/>
          <w:szCs w:val="20"/>
          <w:color w:val="auto"/>
        </w:rPr>
      </w:pPr>
      <w:r>
        <w:rPr>
          <w:rFonts w:ascii="Arial" w:cs="Arial" w:eastAsia="Arial" w:hAnsi="Arial"/>
          <w:sz w:val="12"/>
          <w:szCs w:val="12"/>
          <w:i w:val="1"/>
          <w:iCs w:val="1"/>
          <w:color w:val="595959"/>
        </w:rPr>
        <w:t>In Millions</w:t>
      </w:r>
    </w:p>
    <w:p>
      <w:pPr>
        <w:spacing w:after="0" w:line="225"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1880" w:type="dxa"/>
            <w:vAlign w:val="bottom"/>
          </w:tcPr>
          <w:p>
            <w:pPr>
              <w:jc w:val="right"/>
              <w:ind w:right="1431"/>
              <w:spacing w:after="0"/>
              <w:rPr>
                <w:sz w:val="20"/>
                <w:szCs w:val="20"/>
                <w:color w:val="auto"/>
              </w:rPr>
            </w:pPr>
            <w:r>
              <w:rPr>
                <w:rFonts w:ascii="Arial" w:cs="Arial" w:eastAsia="Arial" w:hAnsi="Arial"/>
                <w:sz w:val="14"/>
                <w:szCs w:val="14"/>
                <w:color w:val="595959"/>
                <w:w w:val="83"/>
              </w:rPr>
              <w:t>$1,163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880" w:type="dxa"/>
            <w:vAlign w:val="bottom"/>
          </w:tcPr>
          <w:p>
            <w:pPr>
              <w:jc w:val="right"/>
              <w:ind w:right="951"/>
              <w:spacing w:after="0" w:line="120" w:lineRule="exact"/>
              <w:rPr>
                <w:sz w:val="20"/>
                <w:szCs w:val="20"/>
                <w:color w:val="auto"/>
              </w:rPr>
            </w:pPr>
            <w:r>
              <w:rPr>
                <w:rFonts w:ascii="Arial" w:cs="Arial" w:eastAsia="Arial" w:hAnsi="Arial"/>
                <w:sz w:val="13"/>
                <w:szCs w:val="13"/>
                <w:color w:val="595959"/>
              </w:rPr>
              <w:t>$1,080</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880" w:type="dxa"/>
            <w:vAlign w:val="bottom"/>
          </w:tcPr>
          <w:p>
            <w:pPr>
              <w:jc w:val="right"/>
              <w:ind w:right="471"/>
              <w:spacing w:after="0" w:line="158" w:lineRule="exact"/>
              <w:rPr>
                <w:sz w:val="20"/>
                <w:szCs w:val="20"/>
                <w:color w:val="auto"/>
              </w:rPr>
            </w:pPr>
            <w:r>
              <w:rPr>
                <w:rFonts w:ascii="Arial" w:cs="Arial" w:eastAsia="Arial" w:hAnsi="Arial"/>
                <w:sz w:val="14"/>
                <w:szCs w:val="14"/>
                <w:color w:val="595959"/>
              </w:rPr>
              <w:t>$1,017</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$919</w:t>
            </w:r>
          </w:p>
        </w:tc>
        <w:tc>
          <w:tcPr>
            <w:tcW w:w="0" w:type="dxa"/>
            <w:vAlign w:val="bottom"/>
          </w:tcPr>
          <w:p>
            <w:pPr>
              <w:spacing w:after="0"/>
              <w:rPr>
                <w:sz w:val="1"/>
                <w:szCs w:val="1"/>
                <w:color w:val="auto"/>
              </w:rPr>
            </w:pPr>
          </w:p>
        </w:tc>
      </w:tr>
      <w:tr>
        <w:trPr>
          <w:trHeight w:val="202"/>
        </w:trPr>
        <w:tc>
          <w:tcPr>
            <w:tcW w:w="1880" w:type="dxa"/>
            <w:vAlign w:val="bottom"/>
          </w:tcPr>
          <w:p>
            <w:pPr>
              <w:jc w:val="right"/>
              <w:ind w:right="31"/>
              <w:spacing w:after="0"/>
              <w:rPr>
                <w:sz w:val="20"/>
                <w:szCs w:val="20"/>
                <w:color w:val="auto"/>
              </w:rPr>
            </w:pPr>
            <w:r>
              <w:rPr>
                <w:rFonts w:ascii="Arial" w:cs="Arial" w:eastAsia="Arial" w:hAnsi="Arial"/>
                <w:sz w:val="14"/>
                <w:szCs w:val="14"/>
                <w:color w:val="595959"/>
              </w:rPr>
              <w:t>$875</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2017395</wp:posOffset>
                </wp:positionH>
                <wp:positionV relativeFrom="paragraph">
                  <wp:posOffset>-155575</wp:posOffset>
                </wp:positionV>
                <wp:extent cx="172085" cy="108267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085" cy="1082675"/>
                        </a:xfrm>
                        <a:prstGeom prst="rect">
                          <a:avLst/>
                        </a:prstGeom>
                        <a:solidFill>
                          <a:srgbClr val="275886"/>
                        </a:solidFill>
                      </wps:spPr>
                      <wps:bodyPr/>
                    </wps:wsp>
                  </a:graphicData>
                </a:graphic>
              </wp:anchor>
            </w:drawing>
          </mc:Choice>
          <mc:Fallback>
            <w:pict>
              <v:rect id="Shape 9" o:spid="_x0000_s1034" style="position:absolute;margin-left:158.85pt;margin-top:-12.2499pt;width:13.55pt;height:8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mc:AlternateContent>
          <mc:Choice Requires="wps">
            <w:drawing>
              <wp:anchor simplePos="0" relativeHeight="251657728" behindDoc="1" locked="0" layoutInCell="0" allowOverlap="1">
                <wp:simplePos x="0" y="0"/>
                <wp:positionH relativeFrom="column">
                  <wp:posOffset>2324735</wp:posOffset>
                </wp:positionH>
                <wp:positionV relativeFrom="paragraph">
                  <wp:posOffset>-82550</wp:posOffset>
                </wp:positionV>
                <wp:extent cx="172720" cy="10096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1009650"/>
                        </a:xfrm>
                        <a:prstGeom prst="rect">
                          <a:avLst/>
                        </a:prstGeom>
                        <a:solidFill>
                          <a:srgbClr val="275886"/>
                        </a:solidFill>
                      </wps:spPr>
                      <wps:bodyPr/>
                    </wps:wsp>
                  </a:graphicData>
                </a:graphic>
              </wp:anchor>
            </w:drawing>
          </mc:Choice>
          <mc:Fallback>
            <w:pict>
              <v:rect id="Shape 10" o:spid="_x0000_s1035" style="position:absolute;margin-left:183.05pt;margin-top:-6.4999pt;width:13.6pt;height: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mc:AlternateContent>
          <mc:Choice Requires="wps">
            <w:drawing>
              <wp:anchor simplePos="0" relativeHeight="251657728" behindDoc="1" locked="0" layoutInCell="0" allowOverlap="1">
                <wp:simplePos x="0" y="0"/>
                <wp:positionH relativeFrom="column">
                  <wp:posOffset>2632710</wp:posOffset>
                </wp:positionH>
                <wp:positionV relativeFrom="paragraph">
                  <wp:posOffset>50165</wp:posOffset>
                </wp:positionV>
                <wp:extent cx="172720" cy="87693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876935"/>
                        </a:xfrm>
                        <a:prstGeom prst="rect">
                          <a:avLst/>
                        </a:prstGeom>
                        <a:solidFill>
                          <a:srgbClr val="275886"/>
                        </a:solidFill>
                      </wps:spPr>
                      <wps:bodyPr/>
                    </wps:wsp>
                  </a:graphicData>
                </a:graphic>
              </wp:anchor>
            </w:drawing>
          </mc:Choice>
          <mc:Fallback>
            <w:pict>
              <v:rect id="Shape 11" o:spid="_x0000_s1036" style="position:absolute;margin-left:207.3pt;margin-top:3.95pt;width:13.6pt;height:6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mc:AlternateContent>
          <mc:Choice Requires="wps">
            <w:drawing>
              <wp:anchor simplePos="0" relativeHeight="251657728" behindDoc="1" locked="0" layoutInCell="0" allowOverlap="1">
                <wp:simplePos x="0" y="0"/>
                <wp:positionH relativeFrom="column">
                  <wp:posOffset>2940050</wp:posOffset>
                </wp:positionH>
                <wp:positionV relativeFrom="paragraph">
                  <wp:posOffset>5715</wp:posOffset>
                </wp:positionV>
                <wp:extent cx="172720" cy="92138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921385"/>
                        </a:xfrm>
                        <a:prstGeom prst="rect">
                          <a:avLst/>
                        </a:prstGeom>
                        <a:solidFill>
                          <a:srgbClr val="00712E"/>
                        </a:solidFill>
                      </wps:spPr>
                      <wps:bodyPr/>
                    </wps:wsp>
                  </a:graphicData>
                </a:graphic>
              </wp:anchor>
            </w:drawing>
          </mc:Choice>
          <mc:Fallback>
            <w:pict>
              <v:rect id="Shape 12" o:spid="_x0000_s1037" style="position:absolute;margin-left:231.5pt;margin-top:0.45pt;width:13.6pt;height:7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712E" stroked="f"/>
            </w:pict>
          </mc:Fallback>
        </mc:AlternateContent>
        <mc:AlternateContent>
          <mc:Choice Requires="wps">
            <w:drawing>
              <wp:anchor simplePos="0" relativeHeight="251657728" behindDoc="1" locked="0" layoutInCell="0" allowOverlap="1">
                <wp:simplePos x="0" y="0"/>
                <wp:positionH relativeFrom="column">
                  <wp:posOffset>1709420</wp:posOffset>
                </wp:positionH>
                <wp:positionV relativeFrom="paragraph">
                  <wp:posOffset>-231775</wp:posOffset>
                </wp:positionV>
                <wp:extent cx="172720" cy="115887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1158875"/>
                        </a:xfrm>
                        <a:prstGeom prst="rect">
                          <a:avLst/>
                        </a:prstGeom>
                        <a:solidFill>
                          <a:srgbClr val="275886"/>
                        </a:solidFill>
                      </wps:spPr>
                      <wps:bodyPr/>
                    </wps:wsp>
                  </a:graphicData>
                </a:graphic>
              </wp:anchor>
            </w:drawing>
          </mc:Choice>
          <mc:Fallback>
            <w:pict>
              <v:rect id="Shape 13" o:spid="_x0000_s1038" style="position:absolute;margin-left:134.6pt;margin-top:-18.2499pt;width:13.6pt;height:9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5886" stroked="f"/>
            </w:pict>
          </mc:Fallback>
        </mc:AlternateConten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00712E"/>
        </w:rPr>
        <w:t>Cash Flow from</w:t>
      </w:r>
    </w:p>
    <w:p>
      <w:pPr>
        <w:spacing w:after="0" w:line="184" w:lineRule="auto"/>
        <w:rPr>
          <w:sz w:val="20"/>
          <w:szCs w:val="20"/>
          <w:color w:val="auto"/>
        </w:rPr>
      </w:pPr>
      <w:r>
        <w:rPr>
          <w:rFonts w:ascii="Arial" w:cs="Arial" w:eastAsia="Arial" w:hAnsi="Arial"/>
          <w:sz w:val="16"/>
          <w:szCs w:val="16"/>
          <w:color w:val="00712E"/>
        </w:rPr>
        <w:t>Operations Totaling</w:t>
      </w:r>
    </w:p>
    <w:p>
      <w:pPr>
        <w:spacing w:after="0" w:line="214" w:lineRule="auto"/>
        <w:rPr>
          <w:sz w:val="20"/>
          <w:szCs w:val="20"/>
          <w:color w:val="auto"/>
        </w:rPr>
      </w:pPr>
      <w:r>
        <w:rPr>
          <w:rFonts w:ascii="Arial" w:cs="Arial" w:eastAsia="Arial" w:hAnsi="Arial"/>
          <w:sz w:val="35"/>
          <w:szCs w:val="35"/>
          <w:b w:val="1"/>
          <w:bCs w:val="1"/>
          <w:color w:val="001E58"/>
        </w:rPr>
        <w:t>$</w:t>
      </w:r>
      <w:r>
        <w:rPr>
          <w:rFonts w:ascii="Arial" w:cs="Arial" w:eastAsia="Arial" w:hAnsi="Arial"/>
          <w:sz w:val="62"/>
          <w:szCs w:val="62"/>
          <w:b w:val="1"/>
          <w:bCs w:val="1"/>
          <w:color w:val="001E58"/>
        </w:rPr>
        <w:t>670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80" w:type="dxa"/>
            <w:vAlign w:val="bottom"/>
          </w:tcPr>
          <w:p>
            <w:pPr>
              <w:spacing w:after="0"/>
              <w:rPr>
                <w:sz w:val="20"/>
                <w:szCs w:val="20"/>
                <w:color w:val="auto"/>
              </w:rPr>
            </w:pPr>
            <w:r>
              <w:rPr>
                <w:rFonts w:ascii="Arial" w:cs="Arial" w:eastAsia="Arial" w:hAnsi="Arial"/>
                <w:sz w:val="18"/>
                <w:szCs w:val="18"/>
                <w:color w:val="00712E"/>
              </w:rPr>
              <w:t>Million</w:t>
            </w:r>
          </w:p>
        </w:tc>
        <w:tc>
          <w:tcPr>
            <w:tcW w:w="1500" w:type="dxa"/>
            <w:vAlign w:val="bottom"/>
          </w:tcPr>
          <w:p>
            <w:pPr>
              <w:jc w:val="right"/>
              <w:ind w:right="50"/>
              <w:spacing w:after="0"/>
              <w:rPr>
                <w:sz w:val="20"/>
                <w:szCs w:val="20"/>
                <w:color w:val="auto"/>
              </w:rPr>
            </w:pPr>
            <w:r>
              <w:rPr>
                <w:rFonts w:ascii="Arial" w:cs="Arial" w:eastAsia="Arial" w:hAnsi="Arial"/>
                <w:sz w:val="14"/>
                <w:szCs w:val="14"/>
                <w:color w:val="595959"/>
              </w:rPr>
              <w:t>2021</w:t>
            </w:r>
          </w:p>
        </w:tc>
        <w:tc>
          <w:tcPr>
            <w:tcW w:w="480" w:type="dxa"/>
            <w:vAlign w:val="bottom"/>
          </w:tcPr>
          <w:p>
            <w:pPr>
              <w:jc w:val="right"/>
              <w:ind w:right="30"/>
              <w:spacing w:after="0"/>
              <w:rPr>
                <w:sz w:val="20"/>
                <w:szCs w:val="20"/>
                <w:color w:val="auto"/>
              </w:rPr>
            </w:pPr>
            <w:r>
              <w:rPr>
                <w:rFonts w:ascii="Arial" w:cs="Arial" w:eastAsia="Arial" w:hAnsi="Arial"/>
                <w:sz w:val="14"/>
                <w:szCs w:val="14"/>
                <w:color w:val="595959"/>
              </w:rPr>
              <w:t>2022</w:t>
            </w:r>
          </w:p>
        </w:tc>
        <w:tc>
          <w:tcPr>
            <w:tcW w:w="480" w:type="dxa"/>
            <w:vAlign w:val="bottom"/>
          </w:tcPr>
          <w:p>
            <w:pPr>
              <w:jc w:val="right"/>
              <w:ind w:right="30"/>
              <w:spacing w:after="0"/>
              <w:rPr>
                <w:sz w:val="20"/>
                <w:szCs w:val="20"/>
                <w:color w:val="auto"/>
              </w:rPr>
            </w:pPr>
            <w:r>
              <w:rPr>
                <w:rFonts w:ascii="Arial" w:cs="Arial" w:eastAsia="Arial" w:hAnsi="Arial"/>
                <w:sz w:val="14"/>
                <w:szCs w:val="14"/>
                <w:color w:val="595959"/>
              </w:rPr>
              <w:t>2023</w:t>
            </w:r>
          </w:p>
        </w:tc>
        <w:tc>
          <w:tcPr>
            <w:tcW w:w="480" w:type="dxa"/>
            <w:vAlign w:val="bottom"/>
          </w:tcPr>
          <w:p>
            <w:pPr>
              <w:jc w:val="right"/>
              <w:ind w:right="30"/>
              <w:spacing w:after="0"/>
              <w:rPr>
                <w:sz w:val="20"/>
                <w:szCs w:val="20"/>
                <w:color w:val="auto"/>
              </w:rPr>
            </w:pPr>
            <w:r>
              <w:rPr>
                <w:rFonts w:ascii="Arial" w:cs="Arial" w:eastAsia="Arial" w:hAnsi="Arial"/>
                <w:sz w:val="14"/>
                <w:szCs w:val="14"/>
                <w:color w:val="595959"/>
              </w:rPr>
              <w:t>2024</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62"/>
          <w:szCs w:val="62"/>
          <w:b w:val="1"/>
          <w:bCs w:val="1"/>
          <w:color w:val="001E58"/>
        </w:rPr>
        <w:t>21.4</w:t>
      </w:r>
      <w:r>
        <w:rPr>
          <w:rFonts w:ascii="Arial" w:cs="Arial" w:eastAsia="Arial" w:hAnsi="Arial"/>
          <w:sz w:val="36"/>
          <w:szCs w:val="36"/>
          <w:b w:val="1"/>
          <w:bCs w:val="1"/>
          <w:color w:val="001E58"/>
        </w:rPr>
        <w:t>%</w:t>
      </w:r>
    </w:p>
    <w:p>
      <w:pPr>
        <w:spacing w:after="0" w:line="52"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00712E"/>
        </w:rPr>
        <w:t>Debt-to-Capitalization Ratio</w:t>
      </w:r>
    </w:p>
    <w:p>
      <w:pPr>
        <w:spacing w:after="0" w:line="200" w:lineRule="exact"/>
        <w:rPr>
          <w:sz w:val="20"/>
          <w:szCs w:val="20"/>
          <w:color w:val="auto"/>
        </w:rPr>
      </w:pPr>
    </w:p>
    <w:p>
      <w:pPr>
        <w:sectPr>
          <w:pgSz w:w="12240" w:h="15840" w:orient="portrait"/>
          <w:cols w:equalWidth="0" w:num="3">
            <w:col w:w="2300" w:space="340"/>
            <w:col w:w="4900" w:space="340"/>
            <w:col w:w="2140"/>
          </w:cols>
          <w:pgMar w:left="1440" w:top="1440" w:right="78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100" w:right="280" w:firstLine="31"/>
        <w:spacing w:after="0" w:line="316" w:lineRule="auto"/>
        <w:rPr>
          <w:sz w:val="20"/>
          <w:szCs w:val="20"/>
          <w:color w:val="auto"/>
        </w:rPr>
      </w:pPr>
      <w:r>
        <w:rPr>
          <w:rFonts w:ascii="Arial" w:cs="Arial" w:eastAsia="Arial" w:hAnsi="Arial"/>
          <w:sz w:val="16"/>
          <w:szCs w:val="16"/>
          <w:color w:val="auto"/>
        </w:rPr>
        <w:t>mproving performance over the course of the year, with inland revenues expected to increase modestly and operating margins expected to improve as the year progresses.</w:t>
      </w:r>
    </w:p>
    <w:p>
      <w:pPr>
        <w:spacing w:after="0" w:line="233" w:lineRule="exact"/>
        <w:rPr>
          <w:sz w:val="20"/>
          <w:szCs w:val="20"/>
          <w:color w:val="auto"/>
        </w:rPr>
      </w:pPr>
    </w:p>
    <w:p>
      <w:pPr>
        <w:ind w:left="100" w:right="20"/>
        <w:spacing w:after="0" w:line="271" w:lineRule="exact"/>
        <w:rPr>
          <w:sz w:val="20"/>
          <w:szCs w:val="20"/>
          <w:color w:val="auto"/>
        </w:rPr>
      </w:pPr>
      <w:r>
        <w:rPr>
          <w:rFonts w:ascii="Arial" w:cs="Arial" w:eastAsia="Arial" w:hAnsi="Arial"/>
          <w:sz w:val="12"/>
          <w:szCs w:val="12"/>
          <w:color w:val="auto"/>
        </w:rPr>
        <w:t>In coastal marine, we expect another solid year as market conditions YLTHPU</w:t>
      </w:r>
      <w:r>
        <w:rPr>
          <w:rFonts w:ascii="PMingLiU" w:cs="PMingLiU" w:eastAsia="PMingLiU" w:hAnsi="PMingLiU"/>
          <w:sz w:val="12"/>
          <w:szCs w:val="12"/>
          <w:color w:val="auto"/>
        </w:rPr>
        <w:t/>
      </w:r>
      <w:r>
        <w:rPr>
          <w:rFonts w:ascii="Arial" w:cs="Arial" w:eastAsia="Arial" w:hAnsi="Arial"/>
          <w:sz w:val="12"/>
          <w:szCs w:val="12"/>
          <w:color w:val="auto"/>
        </w:rPr>
        <w:t>MH]VYHISL</w:t>
      </w:r>
      <w:r>
        <w:rPr>
          <w:rFonts w:ascii="PMingLiU" w:cs="PMingLiU" w:eastAsia="PMingLiU" w:hAnsi="PMingLiU"/>
          <w:sz w:val="12"/>
          <w:szCs w:val="12"/>
          <w:color w:val="auto"/>
        </w:rPr>
        <w:t/>
      </w:r>
      <w:r>
        <w:rPr>
          <w:rFonts w:ascii="Arial" w:cs="Arial" w:eastAsia="Arial" w:hAnsi="Arial"/>
          <w:sz w:val="12"/>
          <w:szCs w:val="12"/>
          <w:color w:val="auto"/>
        </w:rPr>
        <w:t>HUK</w:t>
      </w:r>
      <w:r>
        <w:rPr>
          <w:rFonts w:ascii="PMingLiU" w:cs="PMingLiU" w:eastAsia="PMingLiU" w:hAnsi="PMingLiU"/>
          <w:sz w:val="12"/>
          <w:szCs w:val="12"/>
          <w:color w:val="auto"/>
        </w:rPr>
        <w:t/>
      </w:r>
      <w:r>
        <w:rPr>
          <w:rFonts w:ascii="Arial" w:cs="Arial" w:eastAsia="Arial" w:hAnsi="Arial"/>
          <w:sz w:val="12"/>
          <w:szCs w:val="12"/>
          <w:color w:val="auto"/>
        </w:rPr>
        <w:t>Z\WWS`</w:t>
      </w:r>
      <w:r>
        <w:rPr>
          <w:rFonts w:ascii="PMingLiU" w:cs="PMingLiU" w:eastAsia="PMingLiU" w:hAnsi="PMingLiU"/>
          <w:sz w:val="12"/>
          <w:szCs w:val="12"/>
          <w:color w:val="auto"/>
        </w:rPr>
        <w:t/>
      </w:r>
      <w:r>
        <w:rPr>
          <w:rFonts w:ascii="Arial" w:cs="Arial" w:eastAsia="Arial" w:hAnsi="Arial"/>
          <w:sz w:val="12"/>
          <w:szCs w:val="12"/>
          <w:color w:val="auto"/>
        </w:rPr>
        <w:t>HUK</w:t>
      </w:r>
      <w:r>
        <w:rPr>
          <w:rFonts w:ascii="PMingLiU" w:cs="PMingLiU" w:eastAsia="PMingLiU" w:hAnsi="PMingLiU"/>
          <w:sz w:val="12"/>
          <w:szCs w:val="12"/>
          <w:color w:val="auto"/>
        </w:rPr>
        <w:t/>
      </w:r>
      <w:r>
        <w:rPr>
          <w:rFonts w:ascii="Arial" w:cs="Arial" w:eastAsia="Arial" w:hAnsi="Arial"/>
          <w:sz w:val="12"/>
          <w:szCs w:val="12"/>
          <w:color w:val="auto"/>
        </w:rPr>
        <w:t>KLTHUK</w:t>
      </w:r>
      <w:r>
        <w:rPr>
          <w:rFonts w:ascii="PMingLiU" w:cs="PMingLiU" w:eastAsia="PMingLiU" w:hAnsi="PMingLiU"/>
          <w:sz w:val="12"/>
          <w:szCs w:val="12"/>
          <w:color w:val="auto"/>
        </w:rPr>
        <w:t/>
      </w:r>
      <w:r>
        <w:rPr>
          <w:rFonts w:ascii="Arial" w:cs="Arial" w:eastAsia="Arial" w:hAnsi="Arial"/>
          <w:sz w:val="12"/>
          <w:szCs w:val="12"/>
          <w:color w:val="auto"/>
        </w:rPr>
        <w:t>HJYVZZ</w:t>
      </w:r>
      <w:r>
        <w:rPr>
          <w:rFonts w:ascii="PMingLiU" w:cs="PMingLiU" w:eastAsia="PMingLiU" w:hAnsi="PMingLiU"/>
          <w:sz w:val="12"/>
          <w:szCs w:val="12"/>
          <w:color w:val="auto"/>
        </w:rPr>
        <w:t/>
      </w:r>
      <w:r>
        <w:rPr>
          <w:rFonts w:ascii="Arial" w:cs="Arial" w:eastAsia="Arial" w:hAnsi="Arial"/>
          <w:sz w:val="12"/>
          <w:szCs w:val="12"/>
          <w:color w:val="auto"/>
        </w:rPr>
        <w:t>[OL</w:t>
      </w:r>
      <w:r>
        <w:rPr>
          <w:rFonts w:ascii="PMingLiU" w:cs="PMingLiU" w:eastAsia="PMingLiU" w:hAnsi="PMingLiU"/>
          <w:sz w:val="12"/>
          <w:szCs w:val="12"/>
          <w:color w:val="auto"/>
        </w:rPr>
        <w:t/>
      </w:r>
      <w:r>
        <w:rPr>
          <w:rFonts w:ascii="Arial" w:cs="Arial" w:eastAsia="Arial" w:hAnsi="Arial"/>
          <w:sz w:val="12"/>
          <w:szCs w:val="12"/>
          <w:color w:val="auto"/>
        </w:rPr>
        <w:t>PUK\Z[Y`</w:t>
      </w:r>
      <w:r>
        <w:rPr>
          <w:rFonts w:ascii="PMingLiU" w:cs="PMingLiU" w:eastAsia="PMingLiU" w:hAnsi="PMingLiU"/>
          <w:sz w:val="12"/>
          <w:szCs w:val="12"/>
          <w:color w:val="auto"/>
        </w:rPr>
        <w:t/>
      </w:r>
      <w:r>
        <w:rPr>
          <w:rFonts w:ascii="Arial" w:cs="Arial" w:eastAsia="Arial" w:hAnsi="Arial"/>
          <w:sz w:val="12"/>
          <w:szCs w:val="12"/>
          <w:color w:val="auto"/>
        </w:rPr>
        <w:t>ÅLL[ remain well balanced. While shipyard activity will be elevated early n the year, limited vessel availability and steady customer demand continue to support utilization and pricing, and we believe the coastal business is well positioned to deliver consistent results with operating margins expected to be in the high-teens range</w:t>
      </w:r>
    </w:p>
    <w:p>
      <w:pPr>
        <w:spacing w:after="0" w:line="29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Within KDS, we expect mixed but overall positive results across</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portfolio, led by continued strength in power generation and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relative weakness in on-highway and oil and gas activity. Demand</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for reliable, 24/7 power remains strong across data centers, behind</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the meter prime power, and industrial applications, and our growing</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backlog and installed base, position this business well as we</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move through the year. We expect steady marine repair activity to</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continue, while oil and gas markets are likely to remain challenged</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as customers maintain capital discipline and activity remains soft.</w:t>
      </w:r>
    </w:p>
    <w:p>
      <w:pPr>
        <w:spacing w:after="0" w:line="56" w:lineRule="exact"/>
        <w:rPr>
          <w:sz w:val="20"/>
          <w:szCs w:val="20"/>
          <w:color w:val="auto"/>
        </w:rPr>
      </w:pPr>
    </w:p>
    <w:p>
      <w:pPr>
        <w:ind w:left="100"/>
        <w:spacing w:after="0" w:line="182" w:lineRule="exact"/>
        <w:rPr>
          <w:sz w:val="20"/>
          <w:szCs w:val="20"/>
          <w:color w:val="auto"/>
        </w:rPr>
      </w:pPr>
      <w:r>
        <w:rPr>
          <w:rFonts w:ascii="Arial" w:cs="Arial" w:eastAsia="Arial" w:hAnsi="Arial"/>
          <w:sz w:val="15"/>
          <w:szCs w:val="15"/>
          <w:color w:val="auto"/>
        </w:rPr>
        <w:t>6]LYHSS</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L_WLJ[</w:t>
      </w:r>
      <w:r>
        <w:rPr>
          <w:rFonts w:ascii="PMingLiU" w:cs="PMingLiU" w:eastAsia="PMingLiU" w:hAnsi="PMingLiU"/>
          <w:sz w:val="15"/>
          <w:szCs w:val="15"/>
          <w:color w:val="auto"/>
        </w:rPr>
        <w:t/>
      </w:r>
      <w:r>
        <w:rPr>
          <w:rFonts w:ascii="Arial" w:cs="Arial" w:eastAsia="Arial" w:hAnsi="Arial"/>
          <w:sz w:val="15"/>
          <w:szCs w:val="15"/>
          <w:color w:val="auto"/>
        </w:rPr>
        <w:t>2+:</w:t>
      </w:r>
      <w:r>
        <w:rPr>
          <w:rFonts w:ascii="PMingLiU" w:cs="PMingLiU" w:eastAsia="PMingLiU" w:hAnsi="PMingLiU"/>
          <w:sz w:val="15"/>
          <w:szCs w:val="15"/>
          <w:color w:val="auto"/>
        </w:rPr>
        <w:t/>
      </w:r>
      <w:r>
        <w:rPr>
          <w:rFonts w:ascii="Arial" w:cs="Arial" w:eastAsia="Arial" w:hAnsi="Arial"/>
          <w:sz w:val="15"/>
          <w:szCs w:val="15"/>
          <w:color w:val="auto"/>
        </w:rPr>
        <w:t>YL]LU\LZ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IL</w:t>
      </w:r>
      <w:r>
        <w:rPr>
          <w:rFonts w:ascii="PMingLiU" w:cs="PMingLiU" w:eastAsia="PMingLiU" w:hAnsi="PMingLiU"/>
          <w:sz w:val="15"/>
          <w:szCs w:val="15"/>
          <w:color w:val="auto"/>
        </w:rPr>
        <w:t/>
      </w:r>
      <w:r>
        <w:rPr>
          <w:rFonts w:ascii="Arial" w:cs="Arial" w:eastAsia="Arial" w:hAnsi="Arial"/>
          <w:sz w:val="15"/>
          <w:szCs w:val="15"/>
          <w:color w:val="auto"/>
        </w:rPr>
        <w:t>ÅH[</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ZSPNO[S`</w:t>
      </w:r>
      <w:r>
        <w:rPr>
          <w:rFonts w:ascii="PMingLiU" w:cs="PMingLiU" w:eastAsia="PMingLiU" w:hAnsi="PMingLiU"/>
          <w:sz w:val="15"/>
          <w:szCs w:val="15"/>
          <w:color w:val="auto"/>
        </w:rPr>
        <w:t/>
      </w:r>
      <w:r>
        <w:rPr>
          <w:rFonts w:ascii="Arial" w:cs="Arial" w:eastAsia="Arial" w:hAnsi="Arial"/>
          <w:sz w:val="15"/>
          <w:szCs w:val="15"/>
          <w:color w:val="auto"/>
        </w:rPr>
        <w:t>OPNOLY</w:t>
      </w:r>
      <w:r>
        <w:rPr>
          <w:rFonts w:ascii="PMingLiU" w:cs="PMingLiU" w:eastAsia="PMingLiU" w:hAnsi="PMingLiU"/>
          <w:sz w:val="15"/>
          <w:szCs w:val="15"/>
          <w:color w:val="auto"/>
        </w:rPr>
        <w:t/>
      </w:r>
      <w:r>
        <w:rPr>
          <w:rFonts w:ascii="Arial" w:cs="Arial" w:eastAsia="Arial" w:hAnsi="Arial"/>
          <w:sz w:val="15"/>
          <w:szCs w:val="15"/>
          <w:color w:val="auto"/>
        </w:rPr>
        <w:t>`LHY</w:t>
      </w:r>
    </w:p>
    <w:p>
      <w:pPr>
        <w:spacing w:after="0" w:line="58" w:lineRule="exact"/>
        <w:rPr>
          <w:sz w:val="20"/>
          <w:szCs w:val="20"/>
          <w:color w:val="auto"/>
        </w:rPr>
      </w:pPr>
    </w:p>
    <w:p>
      <w:pPr>
        <w:ind w:left="100"/>
        <w:spacing w:after="0" w:line="158" w:lineRule="exact"/>
        <w:rPr>
          <w:sz w:val="20"/>
          <w:szCs w:val="20"/>
          <w:color w:val="auto"/>
        </w:rPr>
      </w:pPr>
      <w:r>
        <w:rPr>
          <w:rFonts w:ascii="Arial" w:cs="Arial" w:eastAsia="Arial" w:hAnsi="Arial"/>
          <w:sz w:val="13"/>
          <w:szCs w:val="13"/>
          <w:color w:val="auto"/>
        </w:rPr>
        <w:t>V]LY</w:t>
      </w:r>
      <w:r>
        <w:rPr>
          <w:rFonts w:ascii="PMingLiU" w:cs="PMingLiU" w:eastAsia="PMingLiU" w:hAnsi="PMingLiU"/>
          <w:sz w:val="13"/>
          <w:szCs w:val="13"/>
          <w:color w:val="auto"/>
        </w:rPr>
        <w:t/>
      </w:r>
      <w:r>
        <w:rPr>
          <w:rFonts w:ascii="Arial" w:cs="Arial" w:eastAsia="Arial" w:hAnsi="Arial"/>
          <w:sz w:val="13"/>
          <w:szCs w:val="13"/>
          <w:color w:val="auto"/>
        </w:rPr>
        <w:t>`LHY</w:t>
      </w:r>
      <w:r>
        <w:rPr>
          <w:rFonts w:ascii="PMingLiU" w:cs="PMingLiU" w:eastAsia="PMingLiU" w:hAnsi="PMingLiU"/>
          <w:sz w:val="13"/>
          <w:szCs w:val="13"/>
          <w:color w:val="auto"/>
        </w:rPr>
        <w:t/>
      </w:r>
      <w:r>
        <w:rPr>
          <w:rFonts w:ascii="Arial" w:cs="Arial" w:eastAsia="Arial" w:hAnsi="Arial"/>
          <w:sz w:val="13"/>
          <w:szCs w:val="13"/>
          <w:color w:val="auto"/>
        </w:rPr>
        <w:t>^P[O</w:t>
      </w:r>
      <w:r>
        <w:rPr>
          <w:rFonts w:ascii="PMingLiU" w:cs="PMingLiU" w:eastAsia="PMingLiU" w:hAnsi="PMingLiU"/>
          <w:sz w:val="13"/>
          <w:szCs w:val="13"/>
          <w:color w:val="auto"/>
        </w:rPr>
        <w:t/>
      </w:r>
      <w:r>
        <w:rPr>
          <w:rFonts w:ascii="Arial" w:cs="Arial" w:eastAsia="Arial" w:hAnsi="Arial"/>
          <w:sz w:val="13"/>
          <w:szCs w:val="13"/>
          <w:color w:val="auto"/>
        </w:rPr>
        <w:t>Z[YLUN[O</w:t>
      </w:r>
      <w:r>
        <w:rPr>
          <w:rFonts w:ascii="PMingLiU" w:cs="PMingLiU" w:eastAsia="PMingLiU" w:hAnsi="PMingLiU"/>
          <w:sz w:val="13"/>
          <w:szCs w:val="13"/>
          <w:color w:val="auto"/>
        </w:rPr>
        <w:t/>
      </w:r>
      <w:r>
        <w:rPr>
          <w:rFonts w:ascii="Arial" w:cs="Arial" w:eastAsia="Arial" w:hAnsi="Arial"/>
          <w:sz w:val="13"/>
          <w:szCs w:val="13"/>
          <w:color w:val="auto"/>
        </w:rPr>
        <w:t>PU</w:t>
      </w:r>
      <w:r>
        <w:rPr>
          <w:rFonts w:ascii="PMingLiU" w:cs="PMingLiU" w:eastAsia="PMingLiU" w:hAnsi="PMingLiU"/>
          <w:sz w:val="13"/>
          <w:szCs w:val="13"/>
          <w:color w:val="auto"/>
        </w:rPr>
        <w:t/>
      </w:r>
      <w:r>
        <w:rPr>
          <w:rFonts w:ascii="Arial" w:cs="Arial" w:eastAsia="Arial" w:hAnsi="Arial"/>
          <w:sz w:val="13"/>
          <w:szCs w:val="13"/>
          <w:color w:val="auto"/>
        </w:rPr>
        <w:t>WV^LY</w:t>
      </w:r>
      <w:r>
        <w:rPr>
          <w:rFonts w:ascii="PMingLiU" w:cs="PMingLiU" w:eastAsia="PMingLiU" w:hAnsi="PMingLiU"/>
          <w:sz w:val="13"/>
          <w:szCs w:val="13"/>
          <w:color w:val="auto"/>
        </w:rPr>
        <w:t/>
      </w:r>
      <w:r>
        <w:rPr>
          <w:rFonts w:ascii="Arial" w:cs="Arial" w:eastAsia="Arial" w:hAnsi="Arial"/>
          <w:sz w:val="13"/>
          <w:szCs w:val="13"/>
          <w:color w:val="auto"/>
        </w:rPr>
        <w:t>NLULYH[PVU</w:t>
      </w:r>
      <w:r>
        <w:rPr>
          <w:rFonts w:ascii="PMingLiU" w:cs="PMingLiU" w:eastAsia="PMingLiU" w:hAnsi="PMingLiU"/>
          <w:sz w:val="13"/>
          <w:szCs w:val="13"/>
          <w:color w:val="auto"/>
        </w:rPr>
        <w:t/>
      </w:r>
      <w:r>
        <w:rPr>
          <w:rFonts w:ascii="Arial" w:cs="Arial" w:eastAsia="Arial" w:hAnsi="Arial"/>
          <w:sz w:val="13"/>
          <w:szCs w:val="13"/>
          <w:color w:val="auto"/>
        </w:rPr>
        <w:t>V</w:t>
      </w:r>
      <w:r>
        <w:rPr>
          <w:rFonts w:ascii="Arial" w:cs="Arial" w:eastAsia="Arial" w:hAnsi="Arial"/>
          <w:sz w:val="13"/>
          <w:szCs w:val="13"/>
          <w:color w:val="auto"/>
        </w:rPr>
        <w:t>ќ</w:t>
      </w:r>
      <w:r>
        <w:rPr>
          <w:rFonts w:ascii="Arial" w:cs="Arial" w:eastAsia="Arial" w:hAnsi="Arial"/>
          <w:sz w:val="13"/>
          <w:szCs w:val="13"/>
          <w:color w:val="auto"/>
        </w:rPr>
        <w:t>ZL[[PUN</w:t>
      </w:r>
      <w:r>
        <w:rPr>
          <w:rFonts w:ascii="PMingLiU" w:cs="PMingLiU" w:eastAsia="PMingLiU" w:hAnsi="PMingLiU"/>
          <w:sz w:val="13"/>
          <w:szCs w:val="13"/>
          <w:color w:val="auto"/>
        </w:rPr>
        <w:t/>
      </w:r>
      <w:r>
        <w:rPr>
          <w:rFonts w:ascii="Arial" w:cs="Arial" w:eastAsia="Arial" w:hAnsi="Arial"/>
          <w:sz w:val="13"/>
          <w:szCs w:val="13"/>
          <w:color w:val="auto"/>
        </w:rPr>
        <w:t>SV^LY</w:t>
      </w:r>
      <w:r>
        <w:rPr>
          <w:rFonts w:ascii="PMingLiU" w:cs="PMingLiU" w:eastAsia="PMingLiU" w:hAnsi="PMingLiU"/>
          <w:sz w:val="13"/>
          <w:szCs w:val="13"/>
          <w:color w:val="auto"/>
        </w:rPr>
        <w:t/>
      </w:r>
      <w:r>
        <w:rPr>
          <w:rFonts w:ascii="Arial" w:cs="Arial" w:eastAsia="Arial" w:hAnsi="Arial"/>
          <w:sz w:val="13"/>
          <w:szCs w:val="13"/>
          <w:color w:val="auto"/>
        </w:rPr>
        <w:t>V S</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gas activity resulting in operating margins averaging in the mid-to-</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high single digit range</w:t>
      </w:r>
    </w:p>
    <w:p>
      <w:pPr>
        <w:spacing w:after="0" w:line="296" w:lineRule="exact"/>
        <w:rPr>
          <w:sz w:val="20"/>
          <w:szCs w:val="20"/>
          <w:color w:val="auto"/>
        </w:rPr>
      </w:pPr>
    </w:p>
    <w:p>
      <w:pPr>
        <w:ind w:left="100"/>
        <w:spacing w:after="0" w:line="227" w:lineRule="exact"/>
        <w:rPr>
          <w:sz w:val="20"/>
          <w:szCs w:val="20"/>
          <w:color w:val="auto"/>
        </w:rPr>
      </w:pPr>
      <w:r>
        <w:rPr>
          <w:rFonts w:ascii="Arial" w:cs="Arial" w:eastAsia="Arial" w:hAnsi="Arial"/>
          <w:sz w:val="13"/>
          <w:szCs w:val="13"/>
          <w:color w:val="auto"/>
        </w:rPr>
        <w:t>3HZ[S`</w:t>
      </w:r>
      <w:r>
        <w:rPr>
          <w:rFonts w:ascii="PMingLiU" w:cs="PMingLiU" w:eastAsia="PMingLiU" w:hAnsi="PMingLiU"/>
          <w:sz w:val="13"/>
          <w:szCs w:val="13"/>
          <w:color w:val="auto"/>
        </w:rPr>
        <w:t/>
      </w:r>
      <w:r>
        <w:rPr>
          <w:rFonts w:ascii="Arial" w:cs="Arial" w:eastAsia="Arial" w:hAnsi="Arial"/>
          <w:sz w:val="13"/>
          <w:szCs w:val="13"/>
          <w:color w:val="auto"/>
        </w:rPr>
        <w:t>V\Y</w:t>
      </w:r>
      <w:r>
        <w:rPr>
          <w:rFonts w:ascii="PMingLiU" w:cs="PMingLiU" w:eastAsia="PMingLiU" w:hAnsi="PMingLiU"/>
          <w:sz w:val="13"/>
          <w:szCs w:val="13"/>
          <w:color w:val="auto"/>
        </w:rPr>
        <w:t/>
      </w:r>
      <w:r>
        <w:rPr>
          <w:rFonts w:ascii="Arial" w:cs="Arial" w:eastAsia="Arial" w:hAnsi="Arial"/>
          <w:sz w:val="13"/>
          <w:szCs w:val="13"/>
          <w:color w:val="auto"/>
        </w:rPr>
        <w:t>Z[YVUN</w:t>
      </w:r>
      <w:r>
        <w:rPr>
          <w:rFonts w:ascii="PMingLiU" w:cs="PMingLiU" w:eastAsia="PMingLiU" w:hAnsi="PMingLiU"/>
          <w:sz w:val="13"/>
          <w:szCs w:val="13"/>
          <w:color w:val="auto"/>
        </w:rPr>
        <w:t/>
      </w:r>
      <w:r>
        <w:rPr>
          <w:rFonts w:ascii="Arial" w:cs="Arial" w:eastAsia="Arial" w:hAnsi="Arial"/>
          <w:sz w:val="13"/>
          <w:szCs w:val="13"/>
          <w:color w:val="auto"/>
        </w:rPr>
        <w:t>JHZO</w:t>
      </w:r>
      <w:r>
        <w:rPr>
          <w:rFonts w:ascii="PMingLiU" w:cs="PMingLiU" w:eastAsia="PMingLiU" w:hAnsi="PMingLiU"/>
          <w:sz w:val="13"/>
          <w:szCs w:val="13"/>
          <w:color w:val="auto"/>
        </w:rPr>
        <w:t/>
      </w:r>
      <w:r>
        <w:rPr>
          <w:rFonts w:ascii="Arial" w:cs="Arial" w:eastAsia="Arial" w:hAnsi="Arial"/>
          <w:sz w:val="13"/>
          <w:szCs w:val="13"/>
          <w:color w:val="auto"/>
        </w:rPr>
        <w:t>ÅV^</w:t>
      </w:r>
      <w:r>
        <w:rPr>
          <w:rFonts w:ascii="PMingLiU" w:cs="PMingLiU" w:eastAsia="PMingLiU" w:hAnsi="PMingLiU"/>
          <w:sz w:val="13"/>
          <w:szCs w:val="13"/>
          <w:color w:val="auto"/>
        </w:rPr>
        <w:t/>
      </w:r>
      <w:r>
        <w:rPr>
          <w:rFonts w:ascii="Arial" w:cs="Arial" w:eastAsia="Arial" w:hAnsi="Arial"/>
          <w:sz w:val="13"/>
          <w:szCs w:val="13"/>
          <w:color w:val="auto"/>
        </w:rPr>
        <w:t>NLULYH[PVU</w:t>
      </w:r>
      <w:r>
        <w:rPr>
          <w:rFonts w:ascii="PMingLiU" w:cs="PMingLiU" w:eastAsia="PMingLiU" w:hAnsi="PMingLiU"/>
          <w:sz w:val="13"/>
          <w:szCs w:val="13"/>
          <w:color w:val="auto"/>
        </w:rPr>
        <w:t/>
      </w:r>
      <w:r>
        <w:rPr>
          <w:rFonts w:ascii="Arial" w:cs="Arial" w:eastAsia="Arial" w:hAnsi="Arial"/>
          <w:sz w:val="13"/>
          <w:szCs w:val="13"/>
          <w:color w:val="auto"/>
        </w:rPr>
        <w:t>PU</w:t>
      </w:r>
      <w:r>
        <w:rPr>
          <w:rFonts w:ascii="PMingLiU" w:cs="PMingLiU" w:eastAsia="PMingLiU" w:hAnsi="PMingLiU"/>
          <w:sz w:val="13"/>
          <w:szCs w:val="13"/>
          <w:color w:val="auto"/>
        </w:rPr>
        <w:t/>
      </w:r>
      <w:r>
        <w:rPr>
          <w:rFonts w:ascii="Arial" w:cs="Arial" w:eastAsia="Arial" w:hAnsi="Arial"/>
          <w:sz w:val="13"/>
          <w:szCs w:val="13"/>
          <w:color w:val="auto"/>
        </w:rPr>
        <w:t>M\Y[OLY</w:t>
      </w:r>
      <w:r>
        <w:rPr>
          <w:rFonts w:ascii="PMingLiU" w:cs="PMingLiU" w:eastAsia="PMingLiU" w:hAnsi="PMingLiU"/>
          <w:sz w:val="13"/>
          <w:szCs w:val="13"/>
          <w:color w:val="auto"/>
        </w:rPr>
        <w:t/>
      </w:r>
      <w:r>
        <w:rPr>
          <w:rFonts w:ascii="Arial" w:cs="Arial" w:eastAsia="Arial" w:hAnsi="Arial"/>
          <w:sz w:val="13"/>
          <w:szCs w:val="13"/>
          <w:color w:val="auto"/>
        </w:rPr>
        <w:t>ZVSPKPÄLK</w:t>
      </w:r>
      <w:r>
        <w:rPr>
          <w:rFonts w:ascii="PMingLiU" w:cs="PMingLiU" w:eastAsia="PMingLiU" w:hAnsi="PMingLiU"/>
          <w:sz w:val="13"/>
          <w:szCs w:val="13"/>
          <w:color w:val="auto"/>
        </w:rPr>
        <w:t/>
      </w:r>
      <w:r>
        <w:rPr>
          <w:rFonts w:ascii="Arial" w:cs="Arial" w:eastAsia="Arial" w:hAnsi="Arial"/>
          <w:sz w:val="13"/>
          <w:szCs w:val="13"/>
          <w:color w:val="auto"/>
        </w:rPr>
        <w:t>V\Y</w:t>
      </w:r>
      <w:r>
        <w:rPr>
          <w:rFonts w:ascii="PMingLiU" w:cs="PMingLiU" w:eastAsia="PMingLiU" w:hAnsi="PMingLiU"/>
          <w:sz w:val="13"/>
          <w:szCs w:val="13"/>
          <w:color w:val="auto"/>
        </w:rPr>
        <w:t/>
      </w:r>
      <w:r>
        <w:rPr>
          <w:rFonts w:ascii="Arial" w:cs="Arial" w:eastAsia="Arial" w:hAnsi="Arial"/>
          <w:sz w:val="13"/>
          <w:szCs w:val="13"/>
          <w:color w:val="auto"/>
        </w:rPr>
        <w:t xml:space="preserve"> Z[YVUN</w:t>
      </w:r>
      <w:r>
        <w:rPr>
          <w:rFonts w:ascii="PMingLiU" w:cs="PMingLiU" w:eastAsia="PMingLiU" w:hAnsi="PMingLiU"/>
          <w:sz w:val="13"/>
          <w:szCs w:val="13"/>
          <w:color w:val="auto"/>
        </w:rPr>
        <w:t/>
      </w:r>
      <w:r>
        <w:rPr>
          <w:rFonts w:ascii="Arial" w:cs="Arial" w:eastAsia="Arial" w:hAnsi="Arial"/>
          <w:sz w:val="13"/>
          <w:szCs w:val="13"/>
          <w:color w:val="auto"/>
        </w:rPr>
        <w:t>ÄUHUJPHS</w:t>
      </w:r>
      <w:r>
        <w:rPr>
          <w:rFonts w:ascii="PMingLiU" w:cs="PMingLiU" w:eastAsia="PMingLiU" w:hAnsi="PMingLiU"/>
          <w:sz w:val="13"/>
          <w:szCs w:val="13"/>
          <w:color w:val="auto"/>
        </w:rPr>
        <w:t/>
      </w:r>
      <w:r>
        <w:rPr>
          <w:rFonts w:ascii="Arial" w:cs="Arial" w:eastAsia="Arial" w:hAnsi="Arial"/>
          <w:sz w:val="13"/>
          <w:szCs w:val="13"/>
          <w:color w:val="auto"/>
        </w:rPr>
        <w:t>WVZP[PVU</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^L</w:t>
      </w:r>
      <w:r>
        <w:rPr>
          <w:rFonts w:ascii="PMingLiU" w:cs="PMingLiU" w:eastAsia="PMingLiU" w:hAnsi="PMingLiU"/>
          <w:sz w:val="13"/>
          <w:szCs w:val="13"/>
          <w:color w:val="auto"/>
        </w:rPr>
        <w:t/>
      </w:r>
      <w:r>
        <w:rPr>
          <w:rFonts w:ascii="Arial" w:cs="Arial" w:eastAsia="Arial" w:hAnsi="Arial"/>
          <w:sz w:val="13"/>
          <w:szCs w:val="13"/>
          <w:color w:val="auto"/>
        </w:rPr>
        <w:t>L_WLJ[</w:t>
      </w:r>
      <w:r>
        <w:rPr>
          <w:rFonts w:ascii="PMingLiU" w:cs="PMingLiU" w:eastAsia="PMingLiU" w:hAnsi="PMingLiU"/>
          <w:sz w:val="13"/>
          <w:szCs w:val="13"/>
          <w:color w:val="auto"/>
        </w:rPr>
        <w:t/>
      </w:r>
      <w:r>
        <w:rPr>
          <w:rFonts w:ascii="Arial" w:cs="Arial" w:eastAsia="Arial" w:hAnsi="Arial"/>
          <w:sz w:val="13"/>
          <w:szCs w:val="13"/>
          <w:color w:val="auto"/>
        </w:rPr>
        <w:t>[OPZ</w:t>
      </w:r>
      <w:r>
        <w:rPr>
          <w:rFonts w:ascii="PMingLiU" w:cs="PMingLiU" w:eastAsia="PMingLiU" w:hAnsi="PMingLiU"/>
          <w:sz w:val="13"/>
          <w:szCs w:val="13"/>
          <w:color w:val="auto"/>
        </w:rPr>
        <w:t/>
      </w:r>
      <w:r>
        <w:rPr>
          <w:rFonts w:ascii="Arial" w:cs="Arial" w:eastAsia="Arial" w:hAnsi="Arial"/>
          <w:sz w:val="13"/>
          <w:szCs w:val="13"/>
          <w:color w:val="auto"/>
        </w:rPr>
        <w:t>[V</w:t>
      </w:r>
      <w:r>
        <w:rPr>
          <w:rFonts w:ascii="PMingLiU" w:cs="PMingLiU" w:eastAsia="PMingLiU" w:hAnsi="PMingLiU"/>
          <w:sz w:val="13"/>
          <w:szCs w:val="13"/>
          <w:color w:val="auto"/>
        </w:rPr>
        <w:t/>
      </w:r>
      <w:r>
        <w:rPr>
          <w:rFonts w:ascii="Arial" w:cs="Arial" w:eastAsia="Arial" w:hAnsi="Arial"/>
          <w:sz w:val="13"/>
          <w:szCs w:val="13"/>
          <w:color w:val="auto"/>
        </w:rPr>
        <w:t>JVU[PU\L</w:t>
      </w:r>
      <w:r>
        <w:rPr>
          <w:rFonts w:ascii="PMingLiU" w:cs="PMingLiU" w:eastAsia="PMingLiU" w:hAnsi="PMingLiU"/>
          <w:sz w:val="13"/>
          <w:szCs w:val="13"/>
          <w:color w:val="auto"/>
        </w:rPr>
        <w:t/>
      </w:r>
      <w:r>
        <w:rPr>
          <w:rFonts w:ascii="Arial" w:cs="Arial" w:eastAsia="Arial" w:hAnsi="Arial"/>
          <w:sz w:val="13"/>
          <w:szCs w:val="13"/>
          <w:color w:val="auto"/>
        </w:rPr>
        <w:t>PU</w:t>
      </w:r>
      <w:r>
        <w:rPr>
          <w:rFonts w:ascii="PMingLiU" w:cs="PMingLiU" w:eastAsia="PMingLiU" w:hAnsi="PMingLiU"/>
          <w:sz w:val="13"/>
          <w:szCs w:val="13"/>
          <w:color w:val="auto"/>
        </w:rPr>
        <w:t/>
      </w:r>
      <w:r>
        <w:rPr>
          <w:rFonts w:ascii="Arial" w:cs="Arial" w:eastAsia="Arial" w:hAnsi="Arial"/>
          <w:sz w:val="13"/>
          <w:szCs w:val="13"/>
          <w:color w:val="auto"/>
        </w:rPr>
        <w:t xml:space="preserve"> &gt;L</w:t>
      </w:r>
      <w:r>
        <w:rPr>
          <w:rFonts w:ascii="PMingLiU" w:cs="PMingLiU" w:eastAsia="PMingLiU" w:hAnsi="PMingLiU"/>
          <w:sz w:val="13"/>
          <w:szCs w:val="13"/>
          <w:color w:val="auto"/>
        </w:rPr>
        <w:t/>
      </w:r>
      <w:r>
        <w:rPr>
          <w:rFonts w:ascii="Arial" w:cs="Arial" w:eastAsia="Arial" w:hAnsi="Arial"/>
          <w:sz w:val="13"/>
          <w:szCs w:val="13"/>
          <w:color w:val="auto"/>
        </w:rPr>
        <w:t>HU[PJPWH[L</w:t>
      </w:r>
      <w:r>
        <w:rPr>
          <w:rFonts w:ascii="PMingLiU" w:cs="PMingLiU" w:eastAsia="PMingLiU" w:hAnsi="PMingLiU"/>
          <w:sz w:val="13"/>
          <w:szCs w:val="13"/>
          <w:color w:val="auto"/>
        </w:rPr>
        <w:t/>
      </w:r>
      <w:r>
        <w:rPr>
          <w:rFonts w:ascii="Arial" w:cs="Arial" w:eastAsia="Arial" w:hAnsi="Arial"/>
          <w:sz w:val="13"/>
          <w:szCs w:val="13"/>
          <w:color w:val="auto"/>
        </w:rPr>
        <w:t>HUV[OLY</w:t>
      </w:r>
      <w:r>
        <w:rPr>
          <w:rFonts w:ascii="PMingLiU" w:cs="PMingLiU" w:eastAsia="PMingLiU" w:hAnsi="PMingLiU"/>
          <w:sz w:val="13"/>
          <w:szCs w:val="13"/>
          <w:color w:val="auto"/>
        </w:rPr>
        <w:t/>
      </w:r>
      <w:r>
        <w:rPr>
          <w:rFonts w:ascii="Arial" w:cs="Arial" w:eastAsia="Arial" w:hAnsi="Arial"/>
          <w:sz w:val="13"/>
          <w:szCs w:val="13"/>
          <w:color w:val="auto"/>
        </w:rPr>
        <w:t>`LHY</w:t>
      </w:r>
      <w:r>
        <w:rPr>
          <w:rFonts w:ascii="PMingLiU" w:cs="PMingLiU" w:eastAsia="PMingLiU" w:hAnsi="PMingLiU"/>
          <w:sz w:val="13"/>
          <w:szCs w:val="13"/>
          <w:color w:val="auto"/>
        </w:rPr>
        <w:t/>
      </w:r>
      <w:r>
        <w:rPr>
          <w:rFonts w:ascii="Arial" w:cs="Arial" w:eastAsia="Arial" w:hAnsi="Arial"/>
          <w:sz w:val="13"/>
          <w:szCs w:val="13"/>
          <w:color w:val="auto"/>
        </w:rPr>
        <w:t>VM</w:t>
      </w:r>
      <w:r>
        <w:rPr>
          <w:rFonts w:ascii="PMingLiU" w:cs="PMingLiU" w:eastAsia="PMingLiU" w:hAnsi="PMingLiU"/>
          <w:sz w:val="13"/>
          <w:szCs w:val="13"/>
          <w:color w:val="auto"/>
        </w:rPr>
        <w:t/>
      </w:r>
      <w:r>
        <w:rPr>
          <w:rFonts w:ascii="Arial" w:cs="Arial" w:eastAsia="Arial" w:hAnsi="Arial"/>
          <w:sz w:val="13"/>
          <w:szCs w:val="13"/>
          <w:color w:val="auto"/>
        </w:rPr>
        <w:t>ZVSPK</w:t>
      </w:r>
      <w:r>
        <w:rPr>
          <w:rFonts w:ascii="PMingLiU" w:cs="PMingLiU" w:eastAsia="PMingLiU" w:hAnsi="PMingLiU"/>
          <w:sz w:val="13"/>
          <w:szCs w:val="13"/>
          <w:color w:val="auto"/>
        </w:rPr>
        <w:t/>
      </w:r>
      <w:r>
        <w:rPr>
          <w:rFonts w:ascii="Arial" w:cs="Arial" w:eastAsia="Arial" w:hAnsi="Arial"/>
          <w:sz w:val="13"/>
          <w:szCs w:val="13"/>
          <w:color w:val="auto"/>
        </w:rPr>
        <w:t>MYLL</w:t>
      </w:r>
      <w:r>
        <w:rPr>
          <w:rFonts w:ascii="PMingLiU" w:cs="PMingLiU" w:eastAsia="PMingLiU" w:hAnsi="PMingLiU"/>
          <w:sz w:val="13"/>
          <w:szCs w:val="13"/>
          <w:color w:val="auto"/>
        </w:rPr>
        <w:t/>
      </w:r>
      <w:r>
        <w:rPr>
          <w:rFonts w:ascii="Arial" w:cs="Arial" w:eastAsia="Arial" w:hAnsi="Arial"/>
          <w:sz w:val="13"/>
          <w:szCs w:val="13"/>
          <w:color w:val="auto"/>
        </w:rPr>
        <w:t>JHZO</w:t>
      </w:r>
      <w:r>
        <w:rPr>
          <w:rFonts w:ascii="PMingLiU" w:cs="PMingLiU" w:eastAsia="PMingLiU" w:hAnsi="PMingLiU"/>
          <w:sz w:val="13"/>
          <w:szCs w:val="13"/>
          <w:color w:val="auto"/>
        </w:rPr>
        <w:t/>
      </w:r>
      <w:r>
        <w:rPr>
          <w:rFonts w:ascii="Arial" w:cs="Arial" w:eastAsia="Arial" w:hAnsi="Arial"/>
          <w:sz w:val="13"/>
          <w:szCs w:val="13"/>
          <w:color w:val="auto"/>
        </w:rPr>
        <w:t>ÅV^</w:t>
      </w:r>
      <w:r>
        <w:rPr>
          <w:rFonts w:ascii="PMingLiU" w:cs="PMingLiU" w:eastAsia="PMingLiU" w:hAnsi="PMingLiU"/>
          <w:sz w:val="13"/>
          <w:szCs w:val="13"/>
          <w:color w:val="auto"/>
        </w:rPr>
        <w:t/>
      </w:r>
      <w:r>
        <w:rPr>
          <w:rFonts w:ascii="Arial" w:cs="Arial" w:eastAsia="Arial" w:hAnsi="Arial"/>
          <w:sz w:val="13"/>
          <w:szCs w:val="13"/>
          <w:color w:val="auto"/>
        </w:rPr>
        <w:t>NLULYH[PVU</w:t>
      </w:r>
      <w:r>
        <w:rPr>
          <w:rFonts w:ascii="PMingLiU" w:cs="PMingLiU" w:eastAsia="PMingLiU" w:hAnsi="PMingLiU"/>
          <w:sz w:val="13"/>
          <w:szCs w:val="13"/>
          <w:color w:val="auto"/>
        </w:rPr>
        <w:t/>
      </w:r>
      <w:r>
        <w:rPr>
          <w:rFonts w:ascii="Arial" w:cs="Arial" w:eastAsia="Arial" w:hAnsi="Arial"/>
          <w:sz w:val="13"/>
          <w:szCs w:val="13"/>
          <w:color w:val="auto"/>
        </w:rPr>
        <w:t>HUK we will maintain our disciplined capital allocation approach, with</w:t>
      </w:r>
    </w:p>
    <w:p>
      <w:pPr>
        <w:spacing w:after="0" w:line="53" w:lineRule="exact"/>
        <w:rPr>
          <w:sz w:val="20"/>
          <w:szCs w:val="20"/>
          <w:color w:val="auto"/>
        </w:rPr>
      </w:pPr>
    </w:p>
    <w:p>
      <w:pPr>
        <w:ind w:left="100" w:right="320"/>
        <w:spacing w:after="0" w:line="356" w:lineRule="auto"/>
        <w:rPr>
          <w:sz w:val="20"/>
          <w:szCs w:val="20"/>
          <w:color w:val="auto"/>
        </w:rPr>
      </w:pPr>
      <w:r>
        <w:rPr>
          <w:rFonts w:ascii="Arial" w:cs="Arial" w:eastAsia="Arial" w:hAnsi="Arial"/>
          <w:sz w:val="15"/>
          <w:szCs w:val="15"/>
          <w:color w:val="auto"/>
        </w:rPr>
        <w:t>a clear focus on investing in our businesses, pursuing attractive growth opportunities, and returning capital to stockholders.</w:t>
      </w:r>
    </w:p>
    <w:p>
      <w:pPr>
        <w:spacing w:after="0" w:line="208" w:lineRule="exact"/>
        <w:rPr>
          <w:sz w:val="20"/>
          <w:szCs w:val="20"/>
          <w:color w:val="auto"/>
        </w:rPr>
      </w:pPr>
    </w:p>
    <w:p>
      <w:pPr>
        <w:ind w:left="100" w:right="40"/>
        <w:spacing w:after="0" w:line="339" w:lineRule="auto"/>
        <w:rPr>
          <w:sz w:val="20"/>
          <w:szCs w:val="20"/>
          <w:color w:val="auto"/>
        </w:rPr>
      </w:pPr>
      <w:r>
        <w:rPr>
          <w:rFonts w:ascii="Arial" w:cs="Arial" w:eastAsia="Arial" w:hAnsi="Arial"/>
          <w:sz w:val="15"/>
          <w:szCs w:val="15"/>
          <w:color w:val="auto"/>
        </w:rPr>
        <w:t>We would also like to welcome Tracy A. Embree as the newest member of the Board of Directors. Ms. Embree brings a proven record of success and deep operational experience to our Board. Ms. Embree brings to Kirby extensive expertise in power generation, distribution, and services for commercial and industrial markets,</w:t>
      </w:r>
    </w:p>
    <w:p>
      <w:pPr>
        <w:spacing w:after="0" w:line="200" w:lineRule="exact"/>
        <w:rPr>
          <w:sz w:val="20"/>
          <w:szCs w:val="20"/>
          <w:color w:val="auto"/>
        </w:rPr>
      </w:pPr>
    </w:p>
    <w:p>
      <w:pPr>
        <w:spacing w:after="0" w:line="205" w:lineRule="exact"/>
        <w:rPr>
          <w:sz w:val="20"/>
          <w:szCs w:val="20"/>
          <w:color w:val="auto"/>
        </w:rPr>
      </w:pPr>
    </w:p>
    <w:p>
      <w:pPr>
        <w:ind w:left="180" w:hanging="79"/>
        <w:spacing w:after="0"/>
        <w:tabs>
          <w:tab w:leader="none" w:pos="180" w:val="left"/>
        </w:tabs>
        <w:numPr>
          <w:ilvl w:val="0"/>
          <w:numId w:val="7"/>
        </w:numPr>
        <w:rPr>
          <w:rFonts w:ascii="Arial" w:cs="Arial" w:eastAsia="Arial" w:hAnsi="Arial"/>
          <w:sz w:val="8"/>
          <w:szCs w:val="8"/>
          <w:color w:val="auto"/>
        </w:rPr>
      </w:pPr>
      <w:r>
        <w:rPr>
          <w:rFonts w:ascii="Arial" w:cs="Arial" w:eastAsia="Arial" w:hAnsi="Arial"/>
          <w:sz w:val="13"/>
          <w:szCs w:val="13"/>
          <w:i w:val="1"/>
          <w:iCs w:val="1"/>
          <w:color w:val="auto"/>
        </w:rPr>
        <w:t>See Financial Highlights for Adjusted EBITDA reconciliation.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520"/>
        <w:spacing w:after="0" w:line="319" w:lineRule="auto"/>
        <w:rPr>
          <w:sz w:val="20"/>
          <w:szCs w:val="20"/>
          <w:color w:val="auto"/>
        </w:rPr>
      </w:pPr>
      <w:r>
        <w:rPr>
          <w:rFonts w:ascii="Arial" w:cs="Arial" w:eastAsia="Arial" w:hAnsi="Arial"/>
          <w:sz w:val="16"/>
          <w:szCs w:val="16"/>
          <w:color w:val="auto"/>
        </w:rPr>
        <w:t>and valuable strategic insights as we continue to execute our long-term strategy.</w:t>
      </w:r>
    </w:p>
    <w:p>
      <w:pPr>
        <w:spacing w:after="0" w:line="231" w:lineRule="exact"/>
        <w:rPr>
          <w:sz w:val="20"/>
          <w:szCs w:val="20"/>
          <w:color w:val="auto"/>
        </w:rPr>
      </w:pPr>
    </w:p>
    <w:p>
      <w:pPr>
        <w:ind w:right="80"/>
        <w:spacing w:after="0" w:line="235" w:lineRule="exact"/>
        <w:rPr>
          <w:sz w:val="20"/>
          <w:szCs w:val="20"/>
          <w:color w:val="auto"/>
        </w:rPr>
      </w:pPr>
      <w:r>
        <w:rPr>
          <w:rFonts w:ascii="Arial" w:cs="Arial" w:eastAsia="Arial" w:hAnsi="Arial"/>
          <w:sz w:val="14"/>
          <w:szCs w:val="14"/>
          <w:color w:val="auto"/>
        </w:rPr>
        <w:t>We would also like to extend our sincere appreciation to Richard E. Stewart, who is retiring from the Kirby Board, after 18 years of dedicated service on the Kirby Board of Directors. Throughout his tenure, Mr. Stewart provided steady leadership, sound judgment, HUK</w:t>
      </w:r>
      <w:r>
        <w:rPr>
          <w:rFonts w:ascii="PMingLiU" w:cs="PMingLiU" w:eastAsia="PMingLiU" w:hAnsi="PMingLiU"/>
          <w:sz w:val="14"/>
          <w:szCs w:val="14"/>
          <w:color w:val="auto"/>
        </w:rPr>
        <w:t/>
      </w:r>
      <w:r>
        <w:rPr>
          <w:rFonts w:ascii="Arial" w:cs="Arial" w:eastAsia="Arial" w:hAnsi="Arial"/>
          <w:sz w:val="14"/>
          <w:szCs w:val="14"/>
          <w:color w:val="auto"/>
        </w:rPr>
        <w:t>KLLW</w:t>
      </w:r>
      <w:r>
        <w:rPr>
          <w:rFonts w:ascii="PMingLiU" w:cs="PMingLiU" w:eastAsia="PMingLiU" w:hAnsi="PMingLiU"/>
          <w:sz w:val="14"/>
          <w:szCs w:val="14"/>
          <w:color w:val="auto"/>
        </w:rPr>
        <w:t/>
      </w:r>
      <w:r>
        <w:rPr>
          <w:rFonts w:ascii="Arial" w:cs="Arial" w:eastAsia="Arial" w:hAnsi="Arial"/>
          <w:sz w:val="14"/>
          <w:szCs w:val="14"/>
          <w:color w:val="auto"/>
        </w:rPr>
        <w:t>ÄUHUJPHS</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NV]LYUHUJL</w:t>
      </w:r>
      <w:r>
        <w:rPr>
          <w:rFonts w:ascii="PMingLiU" w:cs="PMingLiU" w:eastAsia="PMingLiU" w:hAnsi="PMingLiU"/>
          <w:sz w:val="14"/>
          <w:szCs w:val="14"/>
          <w:color w:val="auto"/>
        </w:rPr>
        <w:t/>
      </w:r>
      <w:r>
        <w:rPr>
          <w:rFonts w:ascii="Arial" w:cs="Arial" w:eastAsia="Arial" w:hAnsi="Arial"/>
          <w:sz w:val="14"/>
          <w:szCs w:val="14"/>
          <w:color w:val="auto"/>
        </w:rPr>
        <w:t>L_WLY[PZL</w:t>
      </w:r>
      <w:r>
        <w:rPr>
          <w:rFonts w:ascii="PMingLiU" w:cs="PMingLiU" w:eastAsia="PMingLiU" w:hAnsi="PMingLiU"/>
          <w:sz w:val="14"/>
          <w:szCs w:val="14"/>
          <w:color w:val="auto"/>
        </w:rPr>
        <w:t/>
      </w:r>
      <w:r>
        <w:rPr>
          <w:rFonts w:ascii="Arial" w:cs="Arial" w:eastAsia="Arial" w:hAnsi="Arial"/>
          <w:sz w:val="14"/>
          <w:szCs w:val="14"/>
          <w:color w:val="auto"/>
        </w:rPr>
        <w:t>PUJS\KPUN</w:t>
      </w:r>
      <w:r>
        <w:rPr>
          <w:rFonts w:ascii="PMingLiU" w:cs="PMingLiU" w:eastAsia="PMingLiU" w:hAnsi="PMingLiU"/>
          <w:sz w:val="14"/>
          <w:szCs w:val="14"/>
          <w:color w:val="auto"/>
        </w:rPr>
        <w:t/>
      </w:r>
      <w:r>
        <w:rPr>
          <w:rFonts w:ascii="Arial" w:cs="Arial" w:eastAsia="Arial" w:hAnsi="Arial"/>
          <w:sz w:val="14"/>
          <w:szCs w:val="14"/>
          <w:color w:val="auto"/>
        </w:rPr>
        <w:t>THU`</w:t>
      </w:r>
      <w:r>
        <w:rPr>
          <w:rFonts w:ascii="PMingLiU" w:cs="PMingLiU" w:eastAsia="PMingLiU" w:hAnsi="PMingLiU"/>
          <w:sz w:val="14"/>
          <w:szCs w:val="14"/>
          <w:color w:val="auto"/>
        </w:rPr>
        <w:t/>
      </w:r>
      <w:r>
        <w:rPr>
          <w:rFonts w:ascii="Arial" w:cs="Arial" w:eastAsia="Arial" w:hAnsi="Arial"/>
          <w:sz w:val="14"/>
          <w:szCs w:val="14"/>
          <w:color w:val="auto"/>
        </w:rPr>
        <w:t xml:space="preserve"> years as Chair of the Audit Committee. His contributions have helped guide the Company through multiple business cycles while strengthening our governance framework, and we thank him for his lasting impact on Kirby.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001E58"/>
        </w:rPr>
        <w:t>THANK YOU</w:t>
      </w:r>
    </w:p>
    <w:p>
      <w:pPr>
        <w:spacing w:after="0" w:line="91" w:lineRule="exact"/>
        <w:rPr>
          <w:sz w:val="20"/>
          <w:szCs w:val="20"/>
          <w:color w:val="auto"/>
        </w:rPr>
      </w:pPr>
    </w:p>
    <w:p>
      <w:pPr>
        <w:spacing w:after="0" w:line="233" w:lineRule="exact"/>
        <w:rPr>
          <w:sz w:val="20"/>
          <w:szCs w:val="20"/>
          <w:color w:val="auto"/>
        </w:rPr>
      </w:pPr>
      <w:r>
        <w:rPr>
          <w:rFonts w:ascii="Arial" w:cs="Arial" w:eastAsia="Arial" w:hAnsi="Arial"/>
          <w:sz w:val="15"/>
          <w:szCs w:val="15"/>
          <w:color w:val="auto"/>
        </w:rPr>
        <w:t>In conclusion, to our employees, we extend our sincere thanks for your focus on safety and execution, and your dedication and hard ^VYR</w:t>
      </w:r>
      <w:r>
        <w:rPr>
          <w:rFonts w:ascii="PMingLiU" w:cs="PMingLiU" w:eastAsia="PMingLiU" w:hAnsi="PMingLiU"/>
          <w:sz w:val="15"/>
          <w:szCs w:val="15"/>
          <w:color w:val="auto"/>
        </w:rPr>
        <w:t/>
      </w:r>
      <w:r>
        <w:rPr>
          <w:rFonts w:ascii="Arial" w:cs="Arial" w:eastAsia="Arial" w:hAnsi="Arial"/>
          <w:sz w:val="15"/>
          <w:szCs w:val="15"/>
          <w:color w:val="auto"/>
        </w:rPr>
        <w:t>[OYV\NOV\[</w:t>
      </w:r>
      <w:r>
        <w:rPr>
          <w:rFonts w:ascii="PMingLiU" w:cs="PMingLiU" w:eastAsia="PMingLiU" w:hAnsi="PMingLiU"/>
          <w:sz w:val="15"/>
          <w:szCs w:val="15"/>
          <w:color w:val="auto"/>
        </w:rPr>
        <w:t/>
      </w: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HWWYLJPH[L</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ќ</w:t>
      </w:r>
      <w:r>
        <w:rPr>
          <w:rFonts w:ascii="Arial" w:cs="Arial" w:eastAsia="Arial" w:hAnsi="Arial"/>
          <w:sz w:val="15"/>
          <w:szCs w:val="15"/>
          <w:color w:val="auto"/>
        </w:rPr>
        <w:t>VY[Z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HZR</w:t>
      </w:r>
      <w:r>
        <w:rPr>
          <w:rFonts w:ascii="PMingLiU" w:cs="PMingLiU" w:eastAsia="PMingLiU" w:hAnsi="PMingLiU"/>
          <w:sz w:val="15"/>
          <w:szCs w:val="15"/>
          <w:color w:val="auto"/>
        </w:rPr>
        <w:t/>
      </w:r>
      <w:r>
        <w:rPr>
          <w:rFonts w:ascii="Arial" w:cs="Arial" w:eastAsia="Arial" w:hAnsi="Arial"/>
          <w:sz w:val="15"/>
          <w:szCs w:val="15"/>
          <w:color w:val="auto"/>
        </w:rPr>
        <w:t>[OH[</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 xml:space="preserve"> continue in the year ahead. To our Board of Directors, thank you for your guidance and counsel as we continue to navigate Kirby’s future and execute our long-term strategy. And to our stockholders, we thank you for your trust and ongoing support of our Company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Respectfully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980565"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198056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Richard J. Alario</w:t>
      </w:r>
    </w:p>
    <w:p>
      <w:pPr>
        <w:spacing w:after="0" w:line="6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195580</wp:posOffset>
            </wp:positionV>
            <wp:extent cx="1242060" cy="780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42060" cy="780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685800" cy="822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extLst>
                    </a:blip>
                    <a:srcRect/>
                    <a:stretch>
                      <a:fillRect/>
                    </a:stretch>
                  </pic:blipFill>
                  <pic:spPr bwMode="auto">
                    <a:xfrm>
                      <a:off x="0" y="0"/>
                      <a:ext cx="68580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David W. Grzebinski</w:t>
      </w:r>
    </w:p>
    <w:p>
      <w:pPr>
        <w:spacing w:after="0" w:line="69" w:lineRule="exact"/>
        <w:rPr>
          <w:sz w:val="20"/>
          <w:szCs w:val="20"/>
          <w:color w:val="auto"/>
        </w:rPr>
      </w:pPr>
    </w:p>
    <w:p>
      <w:pPr>
        <w:ind w:left="1260"/>
        <w:spacing w:after="0" w:line="146" w:lineRule="exact"/>
        <w:rPr>
          <w:sz w:val="20"/>
          <w:szCs w:val="20"/>
          <w:color w:val="auto"/>
        </w:rPr>
      </w:pPr>
      <w:r>
        <w:rPr>
          <w:rFonts w:ascii="Arial" w:cs="Arial" w:eastAsia="Arial" w:hAnsi="Arial"/>
          <w:sz w:val="12"/>
          <w:szCs w:val="12"/>
          <w:color w:val="auto"/>
        </w:rPr>
        <w:t>*OPLM</w:t>
      </w:r>
      <w:r>
        <w:rPr>
          <w:rFonts w:ascii="PMingLiU" w:cs="PMingLiU" w:eastAsia="PMingLiU" w:hAnsi="PMingLiU"/>
          <w:sz w:val="12"/>
          <w:szCs w:val="12"/>
          <w:color w:val="auto"/>
        </w:rPr>
        <w:t/>
      </w:r>
      <w:r>
        <w:rPr>
          <w:rFonts w:ascii="Arial" w:cs="Arial" w:eastAsia="Arial" w:hAnsi="Arial"/>
          <w:sz w:val="12"/>
          <w:szCs w:val="12"/>
          <w:color w:val="auto"/>
        </w:rPr>
        <w:t>,_LJ\[P]L</w:t>
      </w:r>
      <w:r>
        <w:rPr>
          <w:rFonts w:ascii="PMingLiU" w:cs="PMingLiU" w:eastAsia="PMingLiU" w:hAnsi="PMingLiU"/>
          <w:sz w:val="12"/>
          <w:szCs w:val="12"/>
          <w:color w:val="auto"/>
        </w:rPr>
        <w:t/>
      </w:r>
      <w:r>
        <w:rPr>
          <w:rFonts w:ascii="Arial" w:cs="Arial" w:eastAsia="Arial" w:hAnsi="Arial"/>
          <w:sz w:val="12"/>
          <w:szCs w:val="12"/>
          <w:color w:val="auto"/>
        </w:rPr>
        <w:t>6ɉJLY</w:t>
      </w:r>
    </w:p>
    <w:p>
      <w:pPr>
        <w:spacing w:after="0" w:line="1243" w:lineRule="exact"/>
        <w:rPr>
          <w:sz w:val="20"/>
          <w:szCs w:val="20"/>
          <w:color w:val="auto"/>
        </w:rPr>
      </w:pPr>
    </w:p>
    <w:p>
      <w:pPr>
        <w:sectPr>
          <w:pgSz w:w="12240" w:h="15840" w:orient="portrait"/>
          <w:cols w:equalWidth="0" w:num="2">
            <w:col w:w="4760" w:space="560"/>
            <w:col w:w="4700"/>
          </w:cols>
          <w:pgMar w:left="1440" w:top="1440" w:right="780" w:bottom="0" w:gutter="0" w:footer="0" w:header="0"/>
          <w:type w:val="continuous"/>
        </w:sectPr>
      </w:pPr>
    </w:p>
    <w:p>
      <w:pPr>
        <w:ind w:left="7440"/>
        <w:spacing w:after="0"/>
        <w:tabs>
          <w:tab w:leader="none" w:pos="8460" w:val="left"/>
          <w:tab w:leader="none" w:pos="9880" w:val="left"/>
        </w:tabs>
        <w:rPr>
          <w:sz w:val="20"/>
          <w:szCs w:val="20"/>
          <w:color w:val="auto"/>
        </w:rPr>
      </w:pPr>
      <w:r>
        <w:rPr>
          <w:rFonts w:ascii="Arial" w:cs="Arial" w:eastAsia="Arial" w:hAnsi="Arial"/>
          <w:sz w:val="12"/>
          <w:szCs w:val="12"/>
          <w:b w:val="1"/>
          <w:bCs w:val="1"/>
          <w:color w:val="00712E"/>
        </w:rPr>
        <w:t>Kirby Corporation</w:t>
      </w:r>
      <w:r>
        <w:rPr>
          <w:sz w:val="20"/>
          <w:szCs w:val="20"/>
          <w:color w:val="auto"/>
        </w:rPr>
        <w:tab/>
      </w:r>
      <w:r>
        <w:rPr>
          <w:rFonts w:ascii="Arial" w:cs="Arial" w:eastAsia="Arial" w:hAnsi="Arial"/>
          <w:sz w:val="12"/>
          <w:szCs w:val="12"/>
          <w:color w:val="4C4C4C"/>
        </w:rPr>
        <w:t>2025 Annual Report</w:t>
      </w:r>
      <w:r>
        <w:rPr>
          <w:sz w:val="20"/>
          <w:szCs w:val="20"/>
          <w:color w:val="auto"/>
        </w:rPr>
        <w:tab/>
      </w:r>
      <w:r>
        <w:rPr>
          <w:rFonts w:ascii="Arial" w:cs="Arial" w:eastAsia="Arial" w:hAnsi="Arial"/>
          <w:sz w:val="16"/>
          <w:szCs w:val="16"/>
          <w:color w:val="00712E"/>
        </w:rPr>
        <w:t>3</w:t>
      </w:r>
    </w:p>
    <w:p>
      <w:pPr>
        <w:sectPr>
          <w:pgSz w:w="12240" w:h="15840" w:orient="portrait"/>
          <w:cols w:equalWidth="0" w:num="1">
            <w:col w:w="10020"/>
          </w:cols>
          <w:pgMar w:left="1440" w:top="1440" w:right="780" w:bottom="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40"/>
          <w:szCs w:val="40"/>
          <w:b w:val="1"/>
          <w:bCs w:val="1"/>
          <w:color w:val="00712E"/>
        </w:rPr>
        <w:t>Marine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80"/>
        <w:spacing w:after="0" w:line="398" w:lineRule="auto"/>
        <w:rPr>
          <w:sz w:val="20"/>
          <w:szCs w:val="20"/>
          <w:color w:val="auto"/>
        </w:rPr>
      </w:pPr>
      <w:r>
        <w:rPr>
          <w:rFonts w:ascii="Arial" w:cs="Arial" w:eastAsia="Arial" w:hAnsi="Arial"/>
          <w:sz w:val="16"/>
          <w:szCs w:val="16"/>
          <w:color w:val="00712E"/>
        </w:rPr>
        <w:t>In the marine transportation segment, Kirby Corporation (“Kirby” or the “Company”) operates through its wholly owned subsidiaries Kirby Inland Marine, LP and Kirby Offshore Marine, LLC and is the largest inland tank barge company in the United States. In its coastal business, Kirby is the second largest tank barge operator by barrel capacity. At the end of 2025, Kirby operated a fleet of approximately 1,105 inland tank barges, 266 inland towboats, 28 coastal tank barges, and 24 coastal tugboats, transporting petrochemicals, refined petroleum products, black oil, agricultural chemicals, and dry-bulk products for major petrochemical and refining customers in the United States. The Company operates its fleet throughout an extensive 12,000-mile inland waterway system of commercially navigable and interconnected rivers and canals, as well as along all of the U.S. coastlines. All of Kirby’s tank barges and towing vessels operate under the United States flag and are qualified to trade under the Jones Act. At the end of 2025, Kirby’s marine transportation businesses had approximately 3,054 employees of which approximately 2,337 were vessel crew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128905</wp:posOffset>
            </wp:positionV>
            <wp:extent cx="7658100" cy="3386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extLst>
                    </a:blip>
                    <a:srcRect/>
                    <a:stretch>
                      <a:fillRect/>
                    </a:stretch>
                  </pic:blipFill>
                  <pic:spPr bwMode="auto">
                    <a:xfrm>
                      <a:off x="0" y="0"/>
                      <a:ext cx="7658100" cy="33864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620" w:val="left"/>
        </w:tabs>
        <w:rPr>
          <w:sz w:val="20"/>
          <w:szCs w:val="20"/>
          <w:color w:val="auto"/>
        </w:rPr>
      </w:pPr>
      <w:r>
        <w:rPr>
          <w:rFonts w:ascii="Arial" w:cs="Arial" w:eastAsia="Arial" w:hAnsi="Arial"/>
          <w:sz w:val="16"/>
          <w:szCs w:val="16"/>
          <w:b w:val="1"/>
          <w:bCs w:val="1"/>
          <w:color w:val="001E58"/>
        </w:rPr>
        <w:t>2025 Revenues By Product</w:t>
      </w:r>
      <w:r>
        <w:rPr>
          <w:sz w:val="20"/>
          <w:szCs w:val="20"/>
          <w:color w:val="auto"/>
        </w:rPr>
        <w:tab/>
      </w:r>
      <w:r>
        <w:rPr>
          <w:rFonts w:ascii="Arial" w:cs="Arial" w:eastAsia="Arial" w:hAnsi="Arial"/>
          <w:sz w:val="13"/>
          <w:szCs w:val="13"/>
          <w:b w:val="1"/>
          <w:bCs w:val="1"/>
          <w:color w:val="001E58"/>
        </w:rPr>
        <w:t>2025 Revenues By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120"/>
        <w:spacing w:after="0"/>
        <w:tabs>
          <w:tab w:leader="none" w:pos="9180" w:val="left"/>
        </w:tabs>
        <w:rPr>
          <w:sz w:val="20"/>
          <w:szCs w:val="20"/>
          <w:color w:val="auto"/>
        </w:rPr>
      </w:pPr>
      <w:r>
        <w:rPr>
          <w:rFonts w:ascii="Arial" w:cs="Arial" w:eastAsia="Arial" w:hAnsi="Arial"/>
          <w:sz w:val="18"/>
          <w:szCs w:val="18"/>
          <w:b w:val="1"/>
          <w:bCs w:val="1"/>
          <w:color w:val="001E58"/>
        </w:rPr>
        <w:t>48</w:t>
      </w:r>
      <w:r>
        <w:rPr>
          <w:rFonts w:ascii="Arial" w:cs="Arial" w:eastAsia="Arial" w:hAnsi="Arial"/>
          <w:sz w:val="20"/>
          <w:szCs w:val="20"/>
          <w:b w:val="1"/>
          <w:bCs w:val="1"/>
          <w:color w:val="001E58"/>
          <w:vertAlign w:val="superscript"/>
        </w:rPr>
        <w:t>%</w:t>
      </w:r>
      <w:r>
        <w:rPr>
          <w:rFonts w:ascii="Arial" w:cs="Arial" w:eastAsia="Arial" w:hAnsi="Arial"/>
          <w:sz w:val="18"/>
          <w:szCs w:val="18"/>
          <w:b w:val="1"/>
          <w:bCs w:val="1"/>
          <w:color w:val="001E58"/>
        </w:rPr>
        <w:t xml:space="preserve"> </w:t>
      </w:r>
      <w:r>
        <w:rPr>
          <w:rFonts w:ascii="Arial" w:cs="Arial" w:eastAsia="Arial" w:hAnsi="Arial"/>
          <w:sz w:val="14"/>
          <w:szCs w:val="14"/>
          <w:color w:val="001E58"/>
        </w:rPr>
        <w:t>Petrochemicals</w:t>
      </w:r>
      <w:r>
        <w:rPr>
          <w:sz w:val="20"/>
          <w:szCs w:val="20"/>
          <w:color w:val="auto"/>
        </w:rPr>
        <w:tab/>
      </w:r>
      <w:r>
        <w:rPr>
          <w:rFonts w:ascii="Arial" w:cs="Arial" w:eastAsia="Arial" w:hAnsi="Arial"/>
          <w:sz w:val="15"/>
          <w:szCs w:val="15"/>
          <w:b w:val="1"/>
          <w:bCs w:val="1"/>
          <w:color w:val="001E58"/>
        </w:rPr>
        <w:t>80</w:t>
      </w:r>
      <w:r>
        <w:rPr>
          <w:rFonts w:ascii="Arial" w:cs="Arial" w:eastAsia="Arial" w:hAnsi="Arial"/>
          <w:sz w:val="17"/>
          <w:szCs w:val="17"/>
          <w:b w:val="1"/>
          <w:bCs w:val="1"/>
          <w:color w:val="001E58"/>
          <w:vertAlign w:val="superscript"/>
        </w:rPr>
        <w:t>%</w:t>
      </w:r>
      <w:r>
        <w:rPr>
          <w:rFonts w:ascii="Arial" w:cs="Arial" w:eastAsia="Arial" w:hAnsi="Arial"/>
          <w:sz w:val="15"/>
          <w:szCs w:val="15"/>
          <w:b w:val="1"/>
          <w:bCs w:val="1"/>
          <w:color w:val="001E58"/>
        </w:rPr>
        <w:t xml:space="preserve"> </w:t>
      </w:r>
      <w:r>
        <w:rPr>
          <w:rFonts w:ascii="Arial" w:cs="Arial" w:eastAsia="Arial" w:hAnsi="Arial"/>
          <w:sz w:val="12"/>
          <w:szCs w:val="12"/>
          <w:color w:val="001E58"/>
        </w:rPr>
        <w:t>Inland</w:t>
      </w:r>
    </w:p>
    <w:p>
      <w:pPr>
        <w:spacing w:after="0" w:line="110"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001E58"/>
        </w:rPr>
        <w:t>26</w:t>
      </w:r>
      <w:r>
        <w:rPr>
          <w:rFonts w:ascii="Arial" w:cs="Arial" w:eastAsia="Arial" w:hAnsi="Arial"/>
          <w:sz w:val="20"/>
          <w:szCs w:val="20"/>
          <w:b w:val="1"/>
          <w:bCs w:val="1"/>
          <w:color w:val="001E58"/>
          <w:vertAlign w:val="superscript"/>
        </w:rPr>
        <w:t>%</w:t>
      </w:r>
      <w:r>
        <w:rPr>
          <w:rFonts w:ascii="Arial" w:cs="Arial" w:eastAsia="Arial" w:hAnsi="Arial"/>
          <w:sz w:val="18"/>
          <w:szCs w:val="18"/>
          <w:b w:val="1"/>
          <w:bCs w:val="1"/>
          <w:color w:val="001E58"/>
        </w:rPr>
        <w:t xml:space="preserve"> </w:t>
      </w:r>
      <w:r>
        <w:rPr>
          <w:rFonts w:ascii="Arial" w:cs="Arial" w:eastAsia="Arial" w:hAnsi="Arial"/>
          <w:sz w:val="14"/>
          <w:szCs w:val="14"/>
          <w:color w:val="001E58"/>
        </w:rPr>
        <w:t xml:space="preserve">Black Oil                    </w:t>
      </w:r>
      <w:r>
        <w:rPr>
          <w:sz w:val="1"/>
          <w:szCs w:val="1"/>
          <w:color w:val="auto"/>
        </w:rPr>
        <w:drawing>
          <wp:inline distT="0" distB="0" distL="0" distR="0">
            <wp:extent cx="142240" cy="1422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extLst>
                    </a:blip>
                    <a:srcRect/>
                    <a:stretch>
                      <a:fillRect/>
                    </a:stretch>
                  </pic:blipFill>
                  <pic:spPr bwMode="auto">
                    <a:xfrm>
                      <a:off x="0" y="0"/>
                      <a:ext cx="142240" cy="142240"/>
                    </a:xfrm>
                    <a:prstGeom prst="rect">
                      <a:avLst/>
                    </a:prstGeom>
                    <a:noFill/>
                    <a:ln>
                      <a:noFill/>
                    </a:ln>
                  </pic:spPr>
                </pic:pic>
              </a:graphicData>
            </a:graphic>
          </wp:inline>
        </w:drawing>
      </w:r>
      <w:r>
        <w:rPr>
          <w:rFonts w:ascii="Arial" w:cs="Arial" w:eastAsia="Arial" w:hAnsi="Arial"/>
          <w:sz w:val="18"/>
          <w:szCs w:val="18"/>
          <w:b w:val="1"/>
          <w:bCs w:val="1"/>
          <w:color w:val="001E58"/>
        </w:rPr>
        <w:t xml:space="preserve"> 20</w:t>
      </w:r>
      <w:r>
        <w:rPr>
          <w:rFonts w:ascii="Arial" w:cs="Arial" w:eastAsia="Arial" w:hAnsi="Arial"/>
          <w:sz w:val="20"/>
          <w:szCs w:val="20"/>
          <w:b w:val="1"/>
          <w:bCs w:val="1"/>
          <w:color w:val="001E58"/>
          <w:vertAlign w:val="superscript"/>
        </w:rPr>
        <w:t>%</w:t>
      </w:r>
      <w:r>
        <w:rPr>
          <w:rFonts w:ascii="Arial" w:cs="Arial" w:eastAsia="Arial" w:hAnsi="Arial"/>
          <w:sz w:val="18"/>
          <w:szCs w:val="18"/>
          <w:b w:val="1"/>
          <w:bCs w:val="1"/>
          <w:color w:val="001E58"/>
        </w:rPr>
        <w:t xml:space="preserve"> </w:t>
      </w:r>
      <w:r>
        <w:rPr>
          <w:rFonts w:ascii="Arial" w:cs="Arial" w:eastAsia="Arial" w:hAnsi="Arial"/>
          <w:sz w:val="14"/>
          <w:szCs w:val="14"/>
          <w:color w:val="001E58"/>
        </w:rPr>
        <w:t>Coastal</w:t>
      </w:r>
    </w:p>
    <w:p>
      <w:pPr>
        <w:spacing w:after="0" w:line="51"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001E58"/>
        </w:rPr>
        <w:t>23</w:t>
      </w:r>
      <w:r>
        <w:rPr>
          <w:rFonts w:ascii="Arial" w:cs="Arial" w:eastAsia="Arial" w:hAnsi="Arial"/>
          <w:sz w:val="20"/>
          <w:szCs w:val="20"/>
          <w:b w:val="1"/>
          <w:bCs w:val="1"/>
          <w:color w:val="001E58"/>
          <w:vertAlign w:val="superscript"/>
        </w:rPr>
        <w:t>%</w:t>
      </w:r>
      <w:r>
        <w:rPr>
          <w:rFonts w:ascii="Arial" w:cs="Arial" w:eastAsia="Arial" w:hAnsi="Arial"/>
          <w:sz w:val="18"/>
          <w:szCs w:val="18"/>
          <w:b w:val="1"/>
          <w:bCs w:val="1"/>
          <w:color w:val="001E58"/>
        </w:rPr>
        <w:t xml:space="preserve"> </w:t>
      </w:r>
      <w:r>
        <w:rPr>
          <w:rFonts w:ascii="Arial" w:cs="Arial" w:eastAsia="Arial" w:hAnsi="Arial"/>
          <w:sz w:val="14"/>
          <w:szCs w:val="14"/>
          <w:color w:val="001E58"/>
        </w:rPr>
        <w:t>Refined Products</w:t>
      </w:r>
    </w:p>
    <w:p>
      <w:pPr>
        <w:spacing w:after="0" w:line="8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001E58"/>
        </w:rPr>
        <w:t>3</w:t>
      </w:r>
      <w:r>
        <w:rPr>
          <w:rFonts w:ascii="Arial" w:cs="Arial" w:eastAsia="Arial" w:hAnsi="Arial"/>
          <w:sz w:val="20"/>
          <w:szCs w:val="20"/>
          <w:b w:val="1"/>
          <w:bCs w:val="1"/>
          <w:color w:val="001E58"/>
          <w:vertAlign w:val="superscript"/>
        </w:rPr>
        <w:t>%</w:t>
      </w:r>
      <w:r>
        <w:rPr>
          <w:rFonts w:ascii="Arial" w:cs="Arial" w:eastAsia="Arial" w:hAnsi="Arial"/>
          <w:sz w:val="18"/>
          <w:szCs w:val="18"/>
          <w:b w:val="1"/>
          <w:bCs w:val="1"/>
          <w:color w:val="001E58"/>
        </w:rPr>
        <w:t xml:space="preserve"> </w:t>
      </w:r>
      <w:r>
        <w:rPr>
          <w:rFonts w:ascii="Arial" w:cs="Arial" w:eastAsia="Arial" w:hAnsi="Arial"/>
          <w:sz w:val="14"/>
          <w:szCs w:val="14"/>
          <w:color w:val="001E58"/>
        </w:rPr>
        <w:t>Agricultural Chemicals</w:t>
      </w:r>
    </w:p>
    <w:p>
      <w:pPr>
        <w:spacing w:after="0" w:line="200" w:lineRule="exact"/>
        <w:rPr>
          <w:sz w:val="20"/>
          <w:szCs w:val="20"/>
          <w:color w:val="auto"/>
        </w:rPr>
      </w:pPr>
    </w:p>
    <w:p>
      <w:pPr>
        <w:spacing w:after="0" w:line="233" w:lineRule="exact"/>
        <w:rPr>
          <w:sz w:val="20"/>
          <w:szCs w:val="20"/>
          <w:color w:val="auto"/>
        </w:rPr>
      </w:pPr>
    </w:p>
    <w:tbl>
      <w:tblPr>
        <w:tblLayout w:type="fixed"/>
        <w:tblInd w:w="424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2040" w:type="dxa"/>
            <w:vAlign w:val="bottom"/>
          </w:tcPr>
          <w:p>
            <w:pPr>
              <w:ind w:left="560"/>
              <w:spacing w:after="0"/>
              <w:rPr>
                <w:sz w:val="20"/>
                <w:szCs w:val="20"/>
                <w:color w:val="auto"/>
              </w:rPr>
            </w:pPr>
            <w:r>
              <w:rPr>
                <w:rFonts w:ascii="Arial" w:cs="Arial" w:eastAsia="Arial" w:hAnsi="Arial"/>
                <w:sz w:val="18"/>
                <w:szCs w:val="18"/>
                <w:color w:val="00712E"/>
              </w:rPr>
              <w:t>Kirby Operates on</w:t>
            </w:r>
          </w:p>
        </w:tc>
        <w:tc>
          <w:tcPr>
            <w:tcW w:w="0" w:type="dxa"/>
            <w:vAlign w:val="bottom"/>
          </w:tcPr>
          <w:p>
            <w:pPr>
              <w:spacing w:after="0"/>
              <w:rPr>
                <w:sz w:val="1"/>
                <w:szCs w:val="1"/>
                <w:color w:val="auto"/>
              </w:rPr>
            </w:pPr>
          </w:p>
        </w:tc>
      </w:tr>
      <w:tr>
        <w:trPr>
          <w:trHeight w:val="446"/>
        </w:trPr>
        <w:tc>
          <w:tcPr>
            <w:tcW w:w="2060" w:type="dxa"/>
            <w:vAlign w:val="bottom"/>
          </w:tcPr>
          <w:p>
            <w:pPr>
              <w:spacing w:after="0"/>
              <w:rPr>
                <w:sz w:val="20"/>
                <w:szCs w:val="20"/>
                <w:color w:val="auto"/>
              </w:rPr>
            </w:pPr>
            <w:r>
              <w:rPr>
                <w:rFonts w:ascii="Arial" w:cs="Arial" w:eastAsia="Arial" w:hAnsi="Arial"/>
                <w:sz w:val="14"/>
                <w:szCs w:val="14"/>
                <w:color w:val="595959"/>
              </w:rPr>
              <w:t>Mississippi River System</w:t>
            </w:r>
          </w:p>
        </w:tc>
        <w:tc>
          <w:tcPr>
            <w:tcW w:w="2040" w:type="dxa"/>
            <w:vAlign w:val="bottom"/>
            <w:vMerge w:val="restart"/>
          </w:tcPr>
          <w:p>
            <w:pPr>
              <w:ind w:left="560"/>
              <w:spacing w:after="0" w:line="636" w:lineRule="exact"/>
              <w:rPr>
                <w:sz w:val="20"/>
                <w:szCs w:val="20"/>
                <w:color w:val="auto"/>
              </w:rPr>
            </w:pPr>
            <w:r>
              <w:rPr>
                <w:rFonts w:ascii="Arial" w:cs="Arial" w:eastAsia="Arial" w:hAnsi="Arial"/>
                <w:sz w:val="56"/>
                <w:szCs w:val="56"/>
                <w:b w:val="1"/>
                <w:bCs w:val="1"/>
                <w:color w:val="001E58"/>
                <w:w w:val="88"/>
              </w:rPr>
              <w:t>12</w:t>
            </w:r>
            <w:r>
              <w:rPr>
                <w:rFonts w:ascii="Arial" w:cs="Arial" w:eastAsia="Arial" w:hAnsi="Arial"/>
                <w:sz w:val="31"/>
                <w:szCs w:val="31"/>
                <w:b w:val="1"/>
                <w:bCs w:val="1"/>
                <w:color w:val="001E58"/>
                <w:w w:val="88"/>
              </w:rPr>
              <w:t>,</w:t>
            </w:r>
            <w:r>
              <w:rPr>
                <w:rFonts w:ascii="Arial" w:cs="Arial" w:eastAsia="Arial" w:hAnsi="Arial"/>
                <w:sz w:val="56"/>
                <w:szCs w:val="56"/>
                <w:b w:val="1"/>
                <w:bCs w:val="1"/>
                <w:color w:val="001E58"/>
                <w:w w:val="88"/>
              </w:rPr>
              <w:t>000</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20"/>
                <w:szCs w:val="20"/>
                <w:color w:val="auto"/>
              </w:rPr>
            </w:pPr>
            <w:r>
              <w:rPr>
                <w:rFonts w:ascii="Arial" w:cs="Arial" w:eastAsia="Arial" w:hAnsi="Arial"/>
                <w:sz w:val="14"/>
                <w:szCs w:val="14"/>
                <w:color w:val="595959"/>
              </w:rPr>
              <w:t>Gulf Intracoastal Waterway</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2040" w:type="dxa"/>
            <w:vAlign w:val="bottom"/>
          </w:tcPr>
          <w:p>
            <w:pPr>
              <w:ind w:left="560"/>
              <w:spacing w:after="0" w:line="123" w:lineRule="exact"/>
              <w:rPr>
                <w:sz w:val="20"/>
                <w:szCs w:val="20"/>
                <w:color w:val="auto"/>
              </w:rPr>
            </w:pPr>
            <w:r>
              <w:rPr>
                <w:rFonts w:ascii="Arial" w:cs="Arial" w:eastAsia="Arial" w:hAnsi="Arial"/>
                <w:sz w:val="14"/>
                <w:szCs w:val="14"/>
                <w:color w:val="00712E"/>
              </w:rPr>
              <w:t>Miles of Navigable</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2040" w:type="dxa"/>
            <w:vAlign w:val="bottom"/>
          </w:tcPr>
          <w:p>
            <w:pPr>
              <w:ind w:left="560"/>
              <w:spacing w:after="0"/>
              <w:rPr>
                <w:sz w:val="20"/>
                <w:szCs w:val="20"/>
                <w:color w:val="auto"/>
              </w:rPr>
            </w:pPr>
            <w:r>
              <w:rPr>
                <w:rFonts w:ascii="Arial" w:cs="Arial" w:eastAsia="Arial" w:hAnsi="Arial"/>
                <w:sz w:val="18"/>
                <w:szCs w:val="18"/>
                <w:color w:val="00712E"/>
              </w:rPr>
              <w:t>U.S. Waterways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580"/>
          </w:cols>
          <w:pgMar w:left="800" w:top="653" w:right="860" w:bottom="0" w:gutter="0" w:footer="0" w:header="0"/>
        </w:sect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1E58"/>
        </w:rPr>
        <w:t>Inland Marine</w:t>
      </w:r>
    </w:p>
    <w:p>
      <w:pPr>
        <w:spacing w:after="0" w:line="376" w:lineRule="exact"/>
        <w:rPr>
          <w:sz w:val="20"/>
          <w:szCs w:val="20"/>
          <w:color w:val="auto"/>
        </w:rPr>
      </w:pPr>
    </w:p>
    <w:p>
      <w:pPr>
        <w:ind w:left="20"/>
        <w:spacing w:after="0" w:line="209" w:lineRule="exact"/>
        <w:rPr>
          <w:sz w:val="20"/>
          <w:szCs w:val="20"/>
          <w:color w:val="auto"/>
        </w:rPr>
      </w:pPr>
      <w:r>
        <w:rPr>
          <w:rFonts w:ascii="Arial" w:cs="Arial" w:eastAsia="Arial" w:hAnsi="Arial"/>
          <w:sz w:val="13"/>
          <w:szCs w:val="13"/>
          <w:color w:val="auto"/>
        </w:rPr>
        <w:t>Kirby Inland Marine is the largest inland tank barge company in the UH[PVU</w:t>
      </w:r>
      <w:r>
        <w:rPr>
          <w:rFonts w:ascii="PMingLiU" w:cs="PMingLiU" w:eastAsia="PMingLiU" w:hAnsi="PMingLiU"/>
          <w:sz w:val="13"/>
          <w:szCs w:val="13"/>
          <w:color w:val="auto"/>
        </w:rPr>
        <w:t/>
      </w:r>
      <w:r>
        <w:rPr>
          <w:rFonts w:ascii="Arial" w:cs="Arial" w:eastAsia="Arial" w:hAnsi="Arial"/>
          <w:sz w:val="13"/>
          <w:szCs w:val="13"/>
          <w:color w:val="auto"/>
        </w:rPr>
        <w:t>VWLYH[PUN</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r>
        <w:rPr>
          <w:rFonts w:ascii="Arial" w:cs="Arial" w:eastAsia="Arial" w:hAnsi="Arial"/>
          <w:sz w:val="13"/>
          <w:szCs w:val="13"/>
          <w:color w:val="auto"/>
        </w:rPr>
        <w:t>ÅLL[</w:t>
      </w:r>
      <w:r>
        <w:rPr>
          <w:rFonts w:ascii="PMingLiU" w:cs="PMingLiU" w:eastAsia="PMingLiU" w:hAnsi="PMingLiU"/>
          <w:sz w:val="13"/>
          <w:szCs w:val="13"/>
          <w:color w:val="auto"/>
        </w:rPr>
        <w:t/>
      </w:r>
      <w:r>
        <w:rPr>
          <w:rFonts w:ascii="Arial" w:cs="Arial" w:eastAsia="Arial" w:hAnsi="Arial"/>
          <w:sz w:val="13"/>
          <w:szCs w:val="13"/>
          <w:color w:val="auto"/>
        </w:rPr>
        <w:t>VM</w:t>
      </w:r>
      <w:r>
        <w:rPr>
          <w:rFonts w:ascii="PMingLiU" w:cs="PMingLiU" w:eastAsia="PMingLiU" w:hAnsi="PMingLiU"/>
          <w:sz w:val="13"/>
          <w:szCs w:val="13"/>
          <w:color w:val="auto"/>
        </w:rPr>
        <w:t/>
      </w:r>
      <w:r>
        <w:rPr>
          <w:rFonts w:ascii="Arial" w:cs="Arial" w:eastAsia="Arial" w:hAnsi="Arial"/>
          <w:sz w:val="13"/>
          <w:szCs w:val="13"/>
          <w:color w:val="auto"/>
        </w:rPr>
        <w:t>[HUR</w:t>
      </w:r>
      <w:r>
        <w:rPr>
          <w:rFonts w:ascii="PMingLiU" w:cs="PMingLiU" w:eastAsia="PMingLiU" w:hAnsi="PMingLiU"/>
          <w:sz w:val="13"/>
          <w:szCs w:val="13"/>
          <w:color w:val="auto"/>
        </w:rPr>
        <w:t/>
      </w:r>
      <w:r>
        <w:rPr>
          <w:rFonts w:ascii="Arial" w:cs="Arial" w:eastAsia="Arial" w:hAnsi="Arial"/>
          <w:sz w:val="13"/>
          <w:szCs w:val="13"/>
          <w:color w:val="auto"/>
        </w:rPr>
        <w:t>IHYNLZ</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r>
        <w:rPr>
          <w:rFonts w:ascii="Arial" w:cs="Arial" w:eastAsia="Arial" w:hAnsi="Arial"/>
          <w:sz w:val="13"/>
          <w:szCs w:val="13"/>
          <w:color w:val="auto"/>
        </w:rPr>
        <w:t>[OL</w:t>
      </w:r>
      <w:r>
        <w:rPr>
          <w:rFonts w:ascii="PMingLiU" w:cs="PMingLiU" w:eastAsia="PMingLiU" w:hAnsi="PMingLiU"/>
          <w:sz w:val="13"/>
          <w:szCs w:val="13"/>
          <w:color w:val="auto"/>
        </w:rPr>
        <w:t/>
      </w:r>
      <w:r>
        <w:rPr>
          <w:rFonts w:ascii="Arial" w:cs="Arial" w:eastAsia="Arial" w:hAnsi="Arial"/>
          <w:sz w:val="13"/>
          <w:szCs w:val="13"/>
          <w:color w:val="auto"/>
        </w:rPr>
        <w:t>LUK</w:t>
      </w:r>
      <w:r>
        <w:rPr>
          <w:rFonts w:ascii="PMingLiU" w:cs="PMingLiU" w:eastAsia="PMingLiU" w:hAnsi="PMingLiU"/>
          <w:sz w:val="13"/>
          <w:szCs w:val="13"/>
          <w:color w:val="auto"/>
        </w:rPr>
        <w:t/>
      </w:r>
      <w:r>
        <w:rPr>
          <w:rFonts w:ascii="Arial" w:cs="Arial" w:eastAsia="Arial" w:hAnsi="Arial"/>
          <w:sz w:val="13"/>
          <w:szCs w:val="13"/>
          <w:color w:val="auto"/>
        </w:rPr>
        <w:t>VM</w:t>
      </w:r>
      <w:r>
        <w:rPr>
          <w:rFonts w:ascii="PMingLiU" w:cs="PMingLiU" w:eastAsia="PMingLiU" w:hAnsi="PMingLiU"/>
          <w:sz w:val="13"/>
          <w:szCs w:val="13"/>
          <w:color w:val="auto"/>
        </w:rPr>
        <w:t/>
      </w:r>
      <w:r>
        <w:rPr>
          <w:rFonts w:ascii="Arial" w:cs="Arial" w:eastAsia="Arial" w:hAnsi="Arial"/>
          <w:sz w:val="13"/>
          <w:szCs w:val="13"/>
          <w:color w:val="auto"/>
        </w:rPr>
        <w:t xml:space="preserve"> with a combined capacity of 24.5 million barrels throughout the Mississippi River System, Gulf Intracoastal Waterway, and Houston Ship Channel. The Company transports petrochemicals, black oil, YLÄULK</w:t>
      </w:r>
      <w:r>
        <w:rPr>
          <w:rFonts w:ascii="PMingLiU" w:cs="PMingLiU" w:eastAsia="PMingLiU" w:hAnsi="PMingLiU"/>
          <w:sz w:val="13"/>
          <w:szCs w:val="13"/>
          <w:color w:val="auto"/>
        </w:rPr>
        <w:t/>
      </w:r>
      <w:r>
        <w:rPr>
          <w:rFonts w:ascii="Arial" w:cs="Arial" w:eastAsia="Arial" w:hAnsi="Arial"/>
          <w:sz w:val="13"/>
          <w:szCs w:val="13"/>
          <w:color w:val="auto"/>
        </w:rPr>
        <w:t>WL[YVSL\T</w:t>
      </w:r>
      <w:r>
        <w:rPr>
          <w:rFonts w:ascii="PMingLiU" w:cs="PMingLiU" w:eastAsia="PMingLiU" w:hAnsi="PMingLiU"/>
          <w:sz w:val="13"/>
          <w:szCs w:val="13"/>
          <w:color w:val="auto"/>
        </w:rPr>
        <w:t/>
      </w:r>
      <w:r>
        <w:rPr>
          <w:rFonts w:ascii="Arial" w:cs="Arial" w:eastAsia="Arial" w:hAnsi="Arial"/>
          <w:sz w:val="13"/>
          <w:szCs w:val="13"/>
          <w:color w:val="auto"/>
        </w:rPr>
        <w:t>WYVK\J[Z</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HNYPJ\S[\YHS</w:t>
      </w:r>
      <w:r>
        <w:rPr>
          <w:rFonts w:ascii="PMingLiU" w:cs="PMingLiU" w:eastAsia="PMingLiU" w:hAnsi="PMingLiU"/>
          <w:sz w:val="13"/>
          <w:szCs w:val="13"/>
          <w:color w:val="auto"/>
        </w:rPr>
        <w:t/>
      </w:r>
      <w:r>
        <w:rPr>
          <w:rFonts w:ascii="Arial" w:cs="Arial" w:eastAsia="Arial" w:hAnsi="Arial"/>
          <w:sz w:val="13"/>
          <w:szCs w:val="13"/>
          <w:color w:val="auto"/>
        </w:rPr>
        <w:t>JOLTPJHSZ</w:t>
      </w:r>
      <w:r>
        <w:rPr>
          <w:rFonts w:ascii="PMingLiU" w:cs="PMingLiU" w:eastAsia="PMingLiU" w:hAnsi="PMingLiU"/>
          <w:sz w:val="13"/>
          <w:szCs w:val="13"/>
          <w:color w:val="auto"/>
        </w:rPr>
        <w:t/>
      </w:r>
      <w:r>
        <w:rPr>
          <w:rFonts w:ascii="Arial" w:cs="Arial" w:eastAsia="Arial" w:hAnsi="Arial"/>
          <w:sz w:val="13"/>
          <w:szCs w:val="13"/>
          <w:color w:val="auto"/>
        </w:rPr>
        <w:t>;OL</w:t>
      </w:r>
      <w:r>
        <w:rPr>
          <w:rFonts w:ascii="PMingLiU" w:cs="PMingLiU" w:eastAsia="PMingLiU" w:hAnsi="PMingLiU"/>
          <w:sz w:val="13"/>
          <w:szCs w:val="13"/>
          <w:color w:val="auto"/>
        </w:rPr>
        <w:t/>
      </w:r>
      <w:r>
        <w:rPr>
          <w:rFonts w:ascii="Arial" w:cs="Arial" w:eastAsia="Arial" w:hAnsi="Arial"/>
          <w:sz w:val="13"/>
          <w:szCs w:val="13"/>
          <w:color w:val="auto"/>
        </w:rPr>
        <w:t>PUSHUK tank barge industry, which is a combination of approximately 25 large integrated transportation companies, small operators, and JHW[P]L</w:t>
      </w:r>
      <w:r>
        <w:rPr>
          <w:rFonts w:ascii="PMingLiU" w:cs="PMingLiU" w:eastAsia="PMingLiU" w:hAnsi="PMingLiU"/>
          <w:sz w:val="13"/>
          <w:szCs w:val="13"/>
          <w:color w:val="auto"/>
        </w:rPr>
        <w:t/>
      </w:r>
      <w:r>
        <w:rPr>
          <w:rFonts w:ascii="Arial" w:cs="Arial" w:eastAsia="Arial" w:hAnsi="Arial"/>
          <w:sz w:val="13"/>
          <w:szCs w:val="13"/>
          <w:color w:val="auto"/>
        </w:rPr>
        <w:t>ÅLL[Z</w:t>
      </w:r>
      <w:r>
        <w:rPr>
          <w:rFonts w:ascii="PMingLiU" w:cs="PMingLiU" w:eastAsia="PMingLiU" w:hAnsi="PMingLiU"/>
          <w:sz w:val="13"/>
          <w:szCs w:val="13"/>
          <w:color w:val="auto"/>
        </w:rPr>
        <w:t/>
      </w:r>
      <w:r>
        <w:rPr>
          <w:rFonts w:ascii="Arial" w:cs="Arial" w:eastAsia="Arial" w:hAnsi="Arial"/>
          <w:sz w:val="13"/>
          <w:szCs w:val="13"/>
          <w:color w:val="auto"/>
        </w:rPr>
        <w:t>V^ULK</w:t>
      </w:r>
      <w:r>
        <w:rPr>
          <w:rFonts w:ascii="PMingLiU" w:cs="PMingLiU" w:eastAsia="PMingLiU" w:hAnsi="PMingLiU"/>
          <w:sz w:val="13"/>
          <w:szCs w:val="13"/>
          <w:color w:val="auto"/>
        </w:rPr>
        <w:t/>
      </w:r>
      <w:r>
        <w:rPr>
          <w:rFonts w:ascii="Arial" w:cs="Arial" w:eastAsia="Arial" w:hAnsi="Arial"/>
          <w:sz w:val="13"/>
          <w:szCs w:val="13"/>
          <w:color w:val="auto"/>
        </w:rPr>
        <w:t>I`</w:t>
      </w:r>
      <w:r>
        <w:rPr>
          <w:rFonts w:ascii="PMingLiU" w:cs="PMingLiU" w:eastAsia="PMingLiU" w:hAnsi="PMingLiU"/>
          <w:sz w:val="13"/>
          <w:szCs w:val="13"/>
          <w:color w:val="auto"/>
        </w:rPr>
        <w:t/>
      </w:r>
      <w:r>
        <w:rPr>
          <w:rFonts w:ascii="Arial" w:cs="Arial" w:eastAsia="Arial" w:hAnsi="Arial"/>
          <w:sz w:val="13"/>
          <w:szCs w:val="13"/>
          <w:color w:val="auto"/>
        </w:rPr>
        <w:t>YLÄUPUN</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WL[YVJOLTPJHS</w:t>
      </w:r>
      <w:r>
        <w:rPr>
          <w:rFonts w:ascii="PMingLiU" w:cs="PMingLiU" w:eastAsia="PMingLiU" w:hAnsi="PMingLiU"/>
          <w:sz w:val="13"/>
          <w:szCs w:val="13"/>
          <w:color w:val="auto"/>
        </w:rPr>
        <w:t/>
      </w:r>
      <w:r>
        <w:rPr>
          <w:rFonts w:ascii="Arial" w:cs="Arial" w:eastAsia="Arial" w:hAnsi="Arial"/>
          <w:sz w:val="13"/>
          <w:szCs w:val="13"/>
          <w:color w:val="auto"/>
        </w:rPr>
        <w:t>JVTWHUPLZ</w:t>
      </w:r>
      <w:r>
        <w:rPr>
          <w:rFonts w:ascii="PMingLiU" w:cs="PMingLiU" w:eastAsia="PMingLiU" w:hAnsi="PMingLiU"/>
          <w:sz w:val="13"/>
          <w:szCs w:val="13"/>
          <w:color w:val="auto"/>
        </w:rPr>
        <w:t/>
      </w:r>
      <w:r>
        <w:rPr>
          <w:rFonts w:ascii="Arial" w:cs="Arial" w:eastAsia="Arial" w:hAnsi="Arial"/>
          <w:sz w:val="13"/>
          <w:szCs w:val="13"/>
          <w:color w:val="auto"/>
        </w:rPr>
        <w:t xml:space="preserve"> consists of approximately 4,000 inland tank barges, of which Kirby represents approximately 28% of the industry. During 2025, Kirby 0USHUK</w:t>
      </w:r>
      <w:r>
        <w:rPr>
          <w:rFonts w:ascii="PMingLiU" w:cs="PMingLiU" w:eastAsia="PMingLiU" w:hAnsi="PMingLiU"/>
          <w:sz w:val="13"/>
          <w:szCs w:val="13"/>
          <w:color w:val="auto"/>
        </w:rPr>
        <w:t/>
      </w:r>
      <w:r>
        <w:rPr>
          <w:rFonts w:ascii="Arial" w:cs="Arial" w:eastAsia="Arial" w:hAnsi="Arial"/>
          <w:sz w:val="13"/>
          <w:szCs w:val="13"/>
          <w:color w:val="auto"/>
        </w:rPr>
        <w:t>4HYPUL</w:t>
      </w:r>
      <w:r>
        <w:rPr>
          <w:rFonts w:ascii="PMingLiU" w:cs="PMingLiU" w:eastAsia="PMingLiU" w:hAnsi="PMingLiU"/>
          <w:sz w:val="13"/>
          <w:szCs w:val="13"/>
          <w:color w:val="auto"/>
        </w:rPr>
        <w:t/>
      </w:r>
      <w:r>
        <w:rPr>
          <w:rFonts w:ascii="Arial" w:cs="Arial" w:eastAsia="Arial" w:hAnsi="Arial"/>
          <w:sz w:val="13"/>
          <w:szCs w:val="13"/>
          <w:color w:val="auto"/>
        </w:rPr>
        <w:t>TV]LK</w:t>
      </w:r>
      <w:r>
        <w:rPr>
          <w:rFonts w:ascii="PMingLiU" w:cs="PMingLiU" w:eastAsia="PMingLiU" w:hAnsi="PMingLiU"/>
          <w:sz w:val="13"/>
          <w:szCs w:val="13"/>
          <w:color w:val="auto"/>
        </w:rPr>
        <w:t/>
      </w:r>
      <w:r>
        <w:rPr>
          <w:rFonts w:ascii="Arial" w:cs="Arial" w:eastAsia="Arial" w:hAnsi="Arial"/>
          <w:sz w:val="13"/>
          <w:szCs w:val="13"/>
          <w:color w:val="auto"/>
        </w:rPr>
        <w:t>V]LY</w:t>
      </w:r>
      <w:r>
        <w:rPr>
          <w:rFonts w:ascii="PMingLiU" w:cs="PMingLiU" w:eastAsia="PMingLiU" w:hAnsi="PMingLiU"/>
          <w:sz w:val="13"/>
          <w:szCs w:val="13"/>
          <w:color w:val="auto"/>
        </w:rPr>
        <w:t/>
      </w:r>
      <w:r>
        <w:rPr>
          <w:rFonts w:ascii="Arial" w:cs="Arial" w:eastAsia="Arial" w:hAnsi="Arial"/>
          <w:sz w:val="13"/>
          <w:szCs w:val="13"/>
          <w:color w:val="auto"/>
        </w:rPr>
        <w:t>TPSSPVU</w:t>
      </w:r>
      <w:r>
        <w:rPr>
          <w:rFonts w:ascii="PMingLiU" w:cs="PMingLiU" w:eastAsia="PMingLiU" w:hAnsi="PMingLiU"/>
          <w:sz w:val="13"/>
          <w:szCs w:val="13"/>
          <w:color w:val="auto"/>
        </w:rPr>
        <w:t/>
      </w:r>
      <w:r>
        <w:rPr>
          <w:rFonts w:ascii="Arial" w:cs="Arial" w:eastAsia="Arial" w:hAnsi="Arial"/>
          <w:sz w:val="13"/>
          <w:szCs w:val="13"/>
          <w:color w:val="auto"/>
        </w:rPr>
        <w:t>[VUZ</w:t>
      </w:r>
      <w:r>
        <w:rPr>
          <w:rFonts w:ascii="PMingLiU" w:cs="PMingLiU" w:eastAsia="PMingLiU" w:hAnsi="PMingLiU"/>
          <w:sz w:val="13"/>
          <w:szCs w:val="13"/>
          <w:color w:val="auto"/>
        </w:rPr>
        <w:t/>
      </w:r>
      <w:r>
        <w:rPr>
          <w:rFonts w:ascii="Arial" w:cs="Arial" w:eastAsia="Arial" w:hAnsi="Arial"/>
          <w:sz w:val="13"/>
          <w:szCs w:val="13"/>
          <w:color w:val="auto"/>
        </w:rPr>
        <w:t>VM</w:t>
      </w:r>
      <w:r>
        <w:rPr>
          <w:rFonts w:ascii="PMingLiU" w:cs="PMingLiU" w:eastAsia="PMingLiU" w:hAnsi="PMingLiU"/>
          <w:sz w:val="13"/>
          <w:szCs w:val="13"/>
          <w:color w:val="auto"/>
        </w:rPr>
        <w:t/>
      </w:r>
      <w:r>
        <w:rPr>
          <w:rFonts w:ascii="Arial" w:cs="Arial" w:eastAsia="Arial" w:hAnsi="Arial"/>
          <w:sz w:val="13"/>
          <w:szCs w:val="13"/>
          <w:color w:val="auto"/>
        </w:rPr>
        <w:t>SPX\PK</w:t>
      </w:r>
      <w:r>
        <w:rPr>
          <w:rFonts w:ascii="PMingLiU" w:cs="PMingLiU" w:eastAsia="PMingLiU" w:hAnsi="PMingLiU"/>
          <w:sz w:val="13"/>
          <w:szCs w:val="13"/>
          <w:color w:val="auto"/>
        </w:rPr>
        <w:t/>
      </w:r>
      <w:r>
        <w:rPr>
          <w:rFonts w:ascii="Arial" w:cs="Arial" w:eastAsia="Arial" w:hAnsi="Arial"/>
          <w:sz w:val="13"/>
          <w:szCs w:val="13"/>
          <w:color w:val="auto"/>
        </w:rPr>
        <w:t>JHYNV</w:t>
      </w:r>
      <w:r>
        <w:rPr>
          <w:rFonts w:ascii="PMingLiU" w:cs="PMingLiU" w:eastAsia="PMingLiU" w:hAnsi="PMingLiU"/>
          <w:sz w:val="13"/>
          <w:szCs w:val="13"/>
          <w:color w:val="auto"/>
        </w:rPr>
        <w:t/>
      </w:r>
      <w:r>
        <w:rPr>
          <w:rFonts w:ascii="Arial" w:cs="Arial" w:eastAsia="Arial" w:hAnsi="Arial"/>
          <w:sz w:val="13"/>
          <w:szCs w:val="13"/>
          <w:color w:val="auto"/>
        </w:rPr>
        <w:t>VU</w:t>
      </w:r>
      <w:r>
        <w:rPr>
          <w:rFonts w:ascii="PMingLiU" w:cs="PMingLiU" w:eastAsia="PMingLiU" w:hAnsi="PMingLiU"/>
          <w:sz w:val="13"/>
          <w:szCs w:val="13"/>
          <w:color w:val="auto"/>
        </w:rPr>
        <w:t/>
      </w:r>
      <w:r>
        <w:rPr>
          <w:rFonts w:ascii="Arial" w:cs="Arial" w:eastAsia="Arial" w:hAnsi="Arial"/>
          <w:sz w:val="13"/>
          <w:szCs w:val="13"/>
          <w:color w:val="auto"/>
        </w:rPr>
        <w:t>[OL inland waterway system and contributed approximately 80% of marine transportation revenues.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28"/>
          <w:szCs w:val="28"/>
          <w:b w:val="1"/>
          <w:bCs w:val="1"/>
          <w:color w:val="001E58"/>
        </w:rPr>
        <w:t>Offshore Marine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wp:posOffset>
                </wp:positionH>
                <wp:positionV relativeFrom="paragraph">
                  <wp:posOffset>-164465</wp:posOffset>
                </wp:positionV>
                <wp:extent cx="0" cy="27076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07640"/>
                        </a:xfrm>
                        <a:prstGeom prst="line">
                          <a:avLst/>
                        </a:prstGeom>
                        <a:solidFill>
                          <a:srgbClr val="FFFFFF"/>
                        </a:solidFill>
                        <a:ln w="4445">
                          <a:solidFill>
                            <a:srgbClr val="8C8C8C"/>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999pt,-12.9499pt" to="-10.7999pt,200.25pt" o:allowincell="f" strokecolor="#8C8C8C" strokeweight="0.35pt"/>
            </w:pict>
          </mc:Fallback>
        </mc:AlternateContent>
      </w:r>
    </w:p>
    <w:p>
      <w:pPr>
        <w:spacing w:after="0" w:line="356" w:lineRule="exact"/>
        <w:rPr>
          <w:sz w:val="20"/>
          <w:szCs w:val="20"/>
          <w:color w:val="auto"/>
        </w:rPr>
      </w:pPr>
    </w:p>
    <w:p>
      <w:pPr>
        <w:ind w:left="20"/>
        <w:spacing w:after="0" w:line="170" w:lineRule="exact"/>
        <w:rPr>
          <w:sz w:val="20"/>
          <w:szCs w:val="20"/>
          <w:color w:val="auto"/>
        </w:rPr>
      </w:pPr>
      <w:r>
        <w:rPr>
          <w:rFonts w:ascii="Arial" w:cs="Arial" w:eastAsia="Arial" w:hAnsi="Arial"/>
          <w:sz w:val="14"/>
          <w:szCs w:val="14"/>
          <w:color w:val="auto"/>
        </w:rPr>
        <w:t>2PYI`</w:t>
      </w:r>
      <w:r>
        <w:rPr>
          <w:rFonts w:ascii="PMingLiU" w:cs="PMingLiU" w:eastAsia="PMingLiU" w:hAnsi="PMingLiU"/>
          <w:sz w:val="14"/>
          <w:szCs w:val="14"/>
          <w:color w:val="auto"/>
        </w:rPr>
        <w:t/>
      </w:r>
      <w:r>
        <w:rPr>
          <w:rFonts w:ascii="Arial" w:cs="Arial" w:eastAsia="Arial" w:hAnsi="Arial"/>
          <w:sz w:val="14"/>
          <w:szCs w:val="14"/>
          <w:color w:val="auto"/>
        </w:rPr>
        <w:t>6</w:t>
      </w:r>
      <w:r>
        <w:rPr>
          <w:rFonts w:ascii="Arial" w:cs="Arial" w:eastAsia="Arial" w:hAnsi="Arial"/>
          <w:sz w:val="14"/>
          <w:szCs w:val="14"/>
          <w:color w:val="auto"/>
        </w:rPr>
        <w:t>ќ</w:t>
      </w:r>
      <w:r>
        <w:rPr>
          <w:rFonts w:ascii="Arial" w:cs="Arial" w:eastAsia="Arial" w:hAnsi="Arial"/>
          <w:sz w:val="14"/>
          <w:szCs w:val="14"/>
          <w:color w:val="auto"/>
        </w:rPr>
        <w:t>ZOVYL</w:t>
      </w:r>
      <w:r>
        <w:rPr>
          <w:rFonts w:ascii="PMingLiU" w:cs="PMingLiU" w:eastAsia="PMingLiU" w:hAnsi="PMingLiU"/>
          <w:sz w:val="14"/>
          <w:szCs w:val="14"/>
          <w:color w:val="auto"/>
        </w:rPr>
        <w:t/>
      </w:r>
      <w:r>
        <w:rPr>
          <w:rFonts w:ascii="Arial" w:cs="Arial" w:eastAsia="Arial" w:hAnsi="Arial"/>
          <w:sz w:val="14"/>
          <w:szCs w:val="14"/>
          <w:color w:val="auto"/>
        </w:rPr>
        <w:t>4HYPUL</w:t>
      </w:r>
      <w:r>
        <w:rPr>
          <w:rFonts w:ascii="PMingLiU" w:cs="PMingLiU" w:eastAsia="PMingLiU" w:hAnsi="PMingLiU"/>
          <w:sz w:val="14"/>
          <w:szCs w:val="14"/>
          <w:color w:val="auto"/>
        </w:rPr>
        <w:t/>
      </w:r>
      <w:r>
        <w:rPr>
          <w:rFonts w:ascii="Arial" w:cs="Arial" w:eastAsia="Arial" w:hAnsi="Arial"/>
          <w:sz w:val="14"/>
          <w:szCs w:val="14"/>
          <w:color w:val="auto"/>
        </w:rPr>
        <w:t>PZ</w:t>
      </w:r>
      <w:r>
        <w:rPr>
          <w:rFonts w:ascii="PMingLiU" w:cs="PMingLiU" w:eastAsia="PMingLiU" w:hAnsi="PMingLiU"/>
          <w:sz w:val="14"/>
          <w:szCs w:val="14"/>
          <w:color w:val="auto"/>
        </w:rPr>
        <w:t/>
      </w:r>
      <w:r>
        <w:rPr>
          <w:rFonts w:ascii="Arial" w:cs="Arial" w:eastAsia="Arial" w:hAnsi="Arial"/>
          <w:sz w:val="14"/>
          <w:szCs w:val="14"/>
          <w:color w:val="auto"/>
        </w:rPr>
        <w:t>H</w:t>
      </w:r>
      <w:r>
        <w:rPr>
          <w:rFonts w:ascii="PMingLiU" w:cs="PMingLiU" w:eastAsia="PMingLiU" w:hAnsi="PMingLiU"/>
          <w:sz w:val="14"/>
          <w:szCs w:val="14"/>
          <w:color w:val="auto"/>
        </w:rPr>
        <w:t/>
      </w:r>
      <w:r>
        <w:rPr>
          <w:rFonts w:ascii="Arial" w:cs="Arial" w:eastAsia="Arial" w:hAnsi="Arial"/>
          <w:sz w:val="14"/>
          <w:szCs w:val="14"/>
          <w:color w:val="auto"/>
        </w:rPr>
        <w:t>RL`</w:t>
      </w:r>
      <w:r>
        <w:rPr>
          <w:rFonts w:ascii="PMingLiU" w:cs="PMingLiU" w:eastAsia="PMingLiU" w:hAnsi="PMingLiU"/>
          <w:sz w:val="14"/>
          <w:szCs w:val="14"/>
          <w:color w:val="auto"/>
        </w:rPr>
        <w:t/>
      </w:r>
      <w:r>
        <w:rPr>
          <w:rFonts w:ascii="Arial" w:cs="Arial" w:eastAsia="Arial" w:hAnsi="Arial"/>
          <w:sz w:val="14"/>
          <w:szCs w:val="14"/>
          <w:color w:val="auto"/>
        </w:rPr>
        <w:t>WHY[PJPWHU[</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UH[PVU»Z</w:t>
      </w:r>
      <w:r>
        <w:rPr>
          <w:rFonts w:ascii="PMingLiU" w:cs="PMingLiU" w:eastAsia="PMingLiU" w:hAnsi="PMingLiU"/>
          <w:sz w:val="14"/>
          <w:szCs w:val="14"/>
          <w:color w:val="auto"/>
        </w:rPr>
        <w:t/>
      </w:r>
      <w:r>
        <w:rPr>
          <w:rFonts w:ascii="Arial" w:cs="Arial" w:eastAsia="Arial" w:hAnsi="Arial"/>
          <w:sz w:val="14"/>
          <w:szCs w:val="14"/>
          <w:color w:val="auto"/>
        </w:rPr>
        <w:t>JVHZ[HS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tank barge industry, which consists of approximately 20 integrated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marine transportation companies and small operators which</w:t>
      </w:r>
    </w:p>
    <w:p>
      <w:pPr>
        <w:spacing w:after="0" w:line="26"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[YHUZWVY[</w:t>
      </w:r>
      <w:r>
        <w:rPr>
          <w:rFonts w:ascii="PMingLiU" w:cs="PMingLiU" w:eastAsia="PMingLiU" w:hAnsi="PMingLiU"/>
          <w:sz w:val="13"/>
          <w:szCs w:val="13"/>
          <w:color w:val="auto"/>
        </w:rPr>
        <w:t/>
      </w:r>
      <w:r>
        <w:rPr>
          <w:rFonts w:ascii="Arial" w:cs="Arial" w:eastAsia="Arial" w:hAnsi="Arial"/>
          <w:sz w:val="13"/>
          <w:szCs w:val="13"/>
          <w:color w:val="auto"/>
        </w:rPr>
        <w:t>YLÄULK</w:t>
      </w:r>
      <w:r>
        <w:rPr>
          <w:rFonts w:ascii="PMingLiU" w:cs="PMingLiU" w:eastAsia="PMingLiU" w:hAnsi="PMingLiU"/>
          <w:sz w:val="13"/>
          <w:szCs w:val="13"/>
          <w:color w:val="auto"/>
        </w:rPr>
        <w:t/>
      </w:r>
      <w:r>
        <w:rPr>
          <w:rFonts w:ascii="Arial" w:cs="Arial" w:eastAsia="Arial" w:hAnsi="Arial"/>
          <w:sz w:val="13"/>
          <w:szCs w:val="13"/>
          <w:color w:val="auto"/>
        </w:rPr>
        <w:t>WL[YVSL\T</w:t>
      </w:r>
      <w:r>
        <w:rPr>
          <w:rFonts w:ascii="PMingLiU" w:cs="PMingLiU" w:eastAsia="PMingLiU" w:hAnsi="PMingLiU"/>
          <w:sz w:val="13"/>
          <w:szCs w:val="13"/>
          <w:color w:val="auto"/>
        </w:rPr>
        <w:t/>
      </w:r>
      <w:r>
        <w:rPr>
          <w:rFonts w:ascii="Arial" w:cs="Arial" w:eastAsia="Arial" w:hAnsi="Arial"/>
          <w:sz w:val="13"/>
          <w:szCs w:val="13"/>
          <w:color w:val="auto"/>
        </w:rPr>
        <w:t>WYVK\J[Z</w:t>
      </w:r>
      <w:r>
        <w:rPr>
          <w:rFonts w:ascii="PMingLiU" w:cs="PMingLiU" w:eastAsia="PMingLiU" w:hAnsi="PMingLiU"/>
          <w:sz w:val="13"/>
          <w:szCs w:val="13"/>
          <w:color w:val="auto"/>
        </w:rPr>
        <w:t/>
      </w:r>
      <w:r>
        <w:rPr>
          <w:rFonts w:ascii="Arial" w:cs="Arial" w:eastAsia="Arial" w:hAnsi="Arial"/>
          <w:sz w:val="13"/>
          <w:szCs w:val="13"/>
          <w:color w:val="auto"/>
        </w:rPr>
        <w:t>ISHJR</w:t>
      </w:r>
      <w:r>
        <w:rPr>
          <w:rFonts w:ascii="PMingLiU" w:cs="PMingLiU" w:eastAsia="PMingLiU" w:hAnsi="PMingLiU"/>
          <w:sz w:val="13"/>
          <w:szCs w:val="13"/>
          <w:color w:val="auto"/>
        </w:rPr>
        <w:t/>
      </w:r>
      <w:r>
        <w:rPr>
          <w:rFonts w:ascii="Arial" w:cs="Arial" w:eastAsia="Arial" w:hAnsi="Arial"/>
          <w:sz w:val="13"/>
          <w:szCs w:val="13"/>
          <w:color w:val="auto"/>
        </w:rPr>
        <w:t>VPS</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WL[YVJOLTPJHSZ</w:t>
      </w:r>
    </w:p>
    <w:p>
      <w:pPr>
        <w:spacing w:after="0" w:line="52"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HSVUN</w:t>
      </w:r>
      <w:r>
        <w:rPr>
          <w:rFonts w:ascii="PMingLiU" w:cs="PMingLiU" w:eastAsia="PMingLiU" w:hAnsi="PMingLiU"/>
          <w:sz w:val="14"/>
          <w:szCs w:val="14"/>
          <w:color w:val="auto"/>
        </w:rPr>
        <w:t/>
      </w:r>
      <w:r>
        <w:rPr>
          <w:rFonts w:ascii="Arial" w:cs="Arial" w:eastAsia="Arial" w:hAnsi="Arial"/>
          <w:sz w:val="14"/>
          <w:szCs w:val="14"/>
          <w:color w:val="auto"/>
        </w:rPr>
        <w:t>HSS</w:t>
      </w:r>
      <w:r>
        <w:rPr>
          <w:rFonts w:ascii="PMingLiU" w:cs="PMingLiU" w:eastAsia="PMingLiU" w:hAnsi="PMingLiU"/>
          <w:sz w:val="14"/>
          <w:szCs w:val="14"/>
          <w:color w:val="auto"/>
        </w:rPr>
        <w:t/>
      </w:r>
      <w:r>
        <w:rPr>
          <w:rFonts w:ascii="Arial" w:cs="Arial" w:eastAsia="Arial" w:hAnsi="Arial"/>
          <w:sz w:val="14"/>
          <w:szCs w:val="14"/>
          <w:color w:val="auto"/>
        </w:rPr>
        <w:t>[OYLL</w:t>
      </w:r>
      <w:r>
        <w:rPr>
          <w:rFonts w:ascii="PMingLiU" w:cs="PMingLiU" w:eastAsia="PMingLiU" w:hAnsi="PMingLiU"/>
          <w:sz w:val="14"/>
          <w:szCs w:val="14"/>
          <w:color w:val="auto"/>
        </w:rPr>
        <w:t/>
      </w:r>
      <w:r>
        <w:rPr>
          <w:rFonts w:ascii="Arial" w:cs="Arial" w:eastAsia="Arial" w:hAnsi="Arial"/>
          <w:sz w:val="14"/>
          <w:szCs w:val="14"/>
          <w:color w:val="auto"/>
        </w:rPr>
        <w:t>&lt;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JVHZ[Z</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UH[PVU»Z</w:t>
      </w:r>
      <w:r>
        <w:rPr>
          <w:rFonts w:ascii="PMingLiU" w:cs="PMingLiU" w:eastAsia="PMingLiU" w:hAnsi="PMingLiU"/>
          <w:sz w:val="14"/>
          <w:szCs w:val="14"/>
          <w:color w:val="auto"/>
        </w:rPr>
        <w:t/>
      </w:r>
      <w:r>
        <w:rPr>
          <w:rFonts w:ascii="Arial" w:cs="Arial" w:eastAsia="Arial" w:hAnsi="Arial"/>
          <w:sz w:val="14"/>
          <w:szCs w:val="14"/>
          <w:color w:val="auto"/>
        </w:rPr>
        <w:t>JVHZ[HS</w:t>
      </w:r>
      <w:r>
        <w:rPr>
          <w:rFonts w:ascii="PMingLiU" w:cs="PMingLiU" w:eastAsia="PMingLiU" w:hAnsi="PMingLiU"/>
          <w:sz w:val="14"/>
          <w:szCs w:val="14"/>
          <w:color w:val="auto"/>
        </w:rPr>
        <w:t/>
      </w:r>
      <w:r>
        <w:rPr>
          <w:rFonts w:ascii="Arial" w:cs="Arial" w:eastAsia="Arial" w:hAnsi="Arial"/>
          <w:sz w:val="14"/>
          <w:szCs w:val="14"/>
          <w:color w:val="auto"/>
        </w:rPr>
        <w:t>[HUR</w:t>
      </w:r>
      <w:r>
        <w:rPr>
          <w:rFonts w:ascii="PMingLiU" w:cs="PMingLiU" w:eastAsia="PMingLiU" w:hAnsi="PMingLiU"/>
          <w:sz w:val="14"/>
          <w:szCs w:val="14"/>
          <w:color w:val="auto"/>
        </w:rPr>
        <w:t/>
      </w:r>
      <w:r>
        <w:rPr>
          <w:rFonts w:ascii="Arial" w:cs="Arial" w:eastAsia="Arial" w:hAnsi="Arial"/>
          <w:sz w:val="14"/>
          <w:szCs w:val="14"/>
          <w:color w:val="auto"/>
        </w:rPr>
        <w:t>IHYNL</w:t>
      </w:r>
      <w:r>
        <w:rPr>
          <w:rFonts w:ascii="PMingLiU" w:cs="PMingLiU" w:eastAsia="PMingLiU" w:hAnsi="PMingLiU"/>
          <w:sz w:val="14"/>
          <w:szCs w:val="14"/>
          <w:color w:val="auto"/>
        </w:rPr>
        <w:t/>
      </w:r>
      <w:r>
        <w:rPr>
          <w:rFonts w:ascii="Arial" w:cs="Arial" w:eastAsia="Arial" w:hAnsi="Arial"/>
          <w:sz w:val="14"/>
          <w:szCs w:val="14"/>
          <w:color w:val="auto"/>
        </w:rPr>
        <w:t>ÅLL[</w:t>
      </w:r>
      <w:r>
        <w:rPr>
          <w:rFonts w:ascii="PMingLiU" w:cs="PMingLiU" w:eastAsia="PMingLiU" w:hAnsi="PMingLiU"/>
          <w:sz w:val="14"/>
          <w:szCs w:val="14"/>
          <w:color w:val="auto"/>
        </w:rPr>
        <w:t/>
      </w:r>
      <w:r>
        <w:rPr>
          <w:rFonts w:ascii="Arial" w:cs="Arial" w:eastAsia="Arial" w:hAnsi="Arial"/>
          <w:sz w:val="14"/>
          <w:szCs w:val="14"/>
          <w:color w:val="auto"/>
        </w:rPr>
        <w:t>PU</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195,000 barrels or less category consists of approximately 260</w:t>
      </w:r>
    </w:p>
    <w:p>
      <w:pPr>
        <w:spacing w:after="0" w:line="21"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IHYNLZ</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LUK</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2PYI`»Z</w:t>
      </w:r>
      <w:r>
        <w:rPr>
          <w:rFonts w:ascii="PMingLiU" w:cs="PMingLiU" w:eastAsia="PMingLiU" w:hAnsi="PMingLiU"/>
          <w:sz w:val="16"/>
          <w:szCs w:val="16"/>
          <w:color w:val="auto"/>
        </w:rPr>
        <w:t/>
      </w:r>
      <w:r>
        <w:rPr>
          <w:rFonts w:ascii="Arial" w:cs="Arial" w:eastAsia="Arial" w:hAnsi="Arial"/>
          <w:sz w:val="16"/>
          <w:szCs w:val="16"/>
          <w:color w:val="auto"/>
        </w:rPr>
        <w:t>ÅLL[</w:t>
      </w:r>
      <w:r>
        <w:rPr>
          <w:rFonts w:ascii="PMingLiU" w:cs="PMingLiU" w:eastAsia="PMingLiU" w:hAnsi="PMingLiU"/>
          <w:sz w:val="16"/>
          <w:szCs w:val="16"/>
          <w:color w:val="auto"/>
        </w:rPr>
        <w:t/>
      </w:r>
      <w:r>
        <w:rPr>
          <w:rFonts w:ascii="Arial" w:cs="Arial" w:eastAsia="Arial" w:hAnsi="Arial"/>
          <w:sz w:val="16"/>
          <w:szCs w:val="16"/>
          <w:color w:val="auto"/>
        </w:rPr>
        <w:t>JVTWYPZLK</w:t>
      </w:r>
      <w:r>
        <w:rPr>
          <w:rFonts w:ascii="PMingLiU" w:cs="PMingLiU" w:eastAsia="PMingLiU" w:hAnsi="PMingLiU"/>
          <w:sz w:val="16"/>
          <w:szCs w:val="16"/>
          <w:color w:val="auto"/>
        </w:rPr>
        <w:t/>
      </w:r>
      <w:r>
        <w:rPr>
          <w:rFonts w:ascii="Arial" w:cs="Arial" w:eastAsia="Arial" w:hAnsi="Arial"/>
          <w:sz w:val="16"/>
          <w:szCs w:val="16"/>
          <w:color w:val="auto"/>
        </w:rPr>
        <w:t>JVHZ[HS</w:t>
      </w:r>
      <w:r>
        <w:rPr>
          <w:rFonts w:ascii="PMingLiU" w:cs="PMingLiU" w:eastAsia="PMingLiU" w:hAnsi="PMingLiU"/>
          <w:sz w:val="16"/>
          <w:szCs w:val="16"/>
          <w:color w:val="auto"/>
        </w:rPr>
        <w:t/>
      </w:r>
      <w:r>
        <w:rPr>
          <w:rFonts w:ascii="Arial" w:cs="Arial" w:eastAsia="Arial" w:hAnsi="Arial"/>
          <w:sz w:val="16"/>
          <w:szCs w:val="16"/>
          <w:color w:val="auto"/>
        </w:rPr>
        <w:t>[HUR</w:t>
      </w:r>
      <w:r>
        <w:rPr>
          <w:rFonts w:ascii="PMingLiU" w:cs="PMingLiU" w:eastAsia="PMingLiU" w:hAnsi="PMingLiU"/>
          <w:sz w:val="16"/>
          <w:szCs w:val="16"/>
          <w:color w:val="auto"/>
        </w:rPr>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barges with 2.9 million barrels of capacity and 24 tugboats,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representing approximately 11% of the industry’s coastal tank</w:t>
      </w:r>
    </w:p>
    <w:p>
      <w:pPr>
        <w:spacing w:after="0" w:line="21"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IHYNLZ</w:t>
      </w:r>
      <w:r>
        <w:rPr>
          <w:rFonts w:ascii="PMingLiU" w:cs="PMingLiU" w:eastAsia="PMingLiU" w:hAnsi="PMingLiU"/>
          <w:sz w:val="16"/>
          <w:szCs w:val="16"/>
          <w:color w:val="auto"/>
        </w:rPr>
        <w:t/>
      </w:r>
      <w:r>
        <w:rPr>
          <w:rFonts w:ascii="Arial" w:cs="Arial" w:eastAsia="Arial" w:hAnsi="Arial"/>
          <w:sz w:val="16"/>
          <w:szCs w:val="16"/>
          <w:color w:val="auto"/>
        </w:rPr>
        <w:t>2PYI`</w:t>
      </w:r>
      <w:r>
        <w:rPr>
          <w:rFonts w:ascii="PMingLiU" w:cs="PMingLiU" w:eastAsia="PMingLiU" w:hAnsi="PMingLiU"/>
          <w:sz w:val="16"/>
          <w:szCs w:val="16"/>
          <w:color w:val="auto"/>
        </w:rPr>
        <w:t/>
      </w:r>
      <w:r>
        <w:rPr>
          <w:rFonts w:ascii="Arial" w:cs="Arial" w:eastAsia="Arial" w:hAnsi="Arial"/>
          <w:sz w:val="16"/>
          <w:szCs w:val="16"/>
          <w:color w:val="auto"/>
        </w:rPr>
        <w:t>6JLHU</w:t>
      </w:r>
      <w:r>
        <w:rPr>
          <w:rFonts w:ascii="PMingLiU" w:cs="PMingLiU" w:eastAsia="PMingLiU" w:hAnsi="PMingLiU"/>
          <w:sz w:val="16"/>
          <w:szCs w:val="16"/>
          <w:color w:val="auto"/>
        </w:rPr>
        <w:t/>
      </w:r>
      <w:r>
        <w:rPr>
          <w:rFonts w:ascii="Arial" w:cs="Arial" w:eastAsia="Arial" w:hAnsi="Arial"/>
          <w:sz w:val="16"/>
          <w:szCs w:val="16"/>
          <w:color w:val="auto"/>
        </w:rPr>
        <w:t>;YHUZWVY[»Z</w:t>
      </w:r>
      <w:r>
        <w:rPr>
          <w:rFonts w:ascii="PMingLiU" w:cs="PMingLiU" w:eastAsia="PMingLiU" w:hAnsi="PMingLiU"/>
          <w:sz w:val="16"/>
          <w:szCs w:val="16"/>
          <w:color w:val="auto"/>
        </w:rPr>
        <w:t/>
      </w:r>
      <w:r>
        <w:rPr>
          <w:rFonts w:ascii="Arial" w:cs="Arial" w:eastAsia="Arial" w:hAnsi="Arial"/>
          <w:sz w:val="16"/>
          <w:szCs w:val="16"/>
          <w:color w:val="auto"/>
        </w:rPr>
        <w:t>ÅLL[</w:t>
      </w:r>
      <w:r>
        <w:rPr>
          <w:rFonts w:ascii="PMingLiU" w:cs="PMingLiU" w:eastAsia="PMingLiU" w:hAnsi="PMingLiU"/>
          <w:sz w:val="16"/>
          <w:szCs w:val="16"/>
          <w:color w:val="auto"/>
        </w:rPr>
        <w:t/>
      </w:r>
      <w:r>
        <w:rPr>
          <w:rFonts w:ascii="Arial" w:cs="Arial" w:eastAsia="Arial" w:hAnsi="Arial"/>
          <w:sz w:val="16"/>
          <w:szCs w:val="16"/>
          <w:color w:val="auto"/>
        </w:rPr>
        <w:t>PUJS\KLZ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V</w:t>
      </w:r>
      <w:r>
        <w:rPr>
          <w:rFonts w:ascii="Arial" w:cs="Arial" w:eastAsia="Arial" w:hAnsi="Arial"/>
          <w:sz w:val="16"/>
          <w:szCs w:val="16"/>
          <w:color w:val="auto"/>
        </w:rPr>
        <w:t>ќ</w:t>
      </w:r>
      <w:r>
        <w:rPr>
          <w:rFonts w:ascii="Arial" w:cs="Arial" w:eastAsia="Arial" w:hAnsi="Arial"/>
          <w:sz w:val="16"/>
          <w:szCs w:val="16"/>
          <w:color w:val="auto"/>
        </w:rPr>
        <w:t>ZOVYL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dry-bulk barges and tugboat units carrying coal across the Gulf</w:t>
      </w:r>
    </w:p>
    <w:p>
      <w:pPr>
        <w:spacing w:after="0" w:line="26" w:lineRule="exact"/>
        <w:rPr>
          <w:sz w:val="20"/>
          <w:szCs w:val="20"/>
          <w:color w:val="auto"/>
        </w:rPr>
      </w:pPr>
    </w:p>
    <w:p>
      <w:pPr>
        <w:ind w:right="840" w:firstLine="4"/>
        <w:spacing w:after="0" w:line="203" w:lineRule="exact"/>
        <w:rPr>
          <w:sz w:val="20"/>
          <w:szCs w:val="20"/>
          <w:color w:val="auto"/>
        </w:rPr>
      </w:pPr>
      <w:r>
        <w:rPr>
          <w:rFonts w:ascii="Arial" w:cs="Arial" w:eastAsia="Arial" w:hAnsi="Arial"/>
          <w:sz w:val="15"/>
          <w:szCs w:val="15"/>
          <w:color w:val="auto"/>
        </w:rPr>
        <w:t>of America to a power generation facility in Florida. In 2025, Kirby 6</w:t>
      </w:r>
      <w:r>
        <w:rPr>
          <w:rFonts w:ascii="Arial" w:cs="Arial" w:eastAsia="Arial" w:hAnsi="Arial"/>
          <w:sz w:val="15"/>
          <w:szCs w:val="15"/>
          <w:color w:val="auto"/>
        </w:rPr>
        <w:t>ќ</w:t>
      </w:r>
      <w:r>
        <w:rPr>
          <w:rFonts w:ascii="Arial" w:cs="Arial" w:eastAsia="Arial" w:hAnsi="Arial"/>
          <w:sz w:val="15"/>
          <w:szCs w:val="15"/>
          <w:color w:val="auto"/>
        </w:rPr>
        <w:t>ZOVYL</w:t>
      </w:r>
      <w:r>
        <w:rPr>
          <w:rFonts w:ascii="PMingLiU" w:cs="PMingLiU" w:eastAsia="PMingLiU" w:hAnsi="PMingLiU"/>
          <w:sz w:val="15"/>
          <w:szCs w:val="15"/>
          <w:color w:val="auto"/>
        </w:rPr>
        <w:t/>
      </w:r>
      <w:r>
        <w:rPr>
          <w:rFonts w:ascii="Arial" w:cs="Arial" w:eastAsia="Arial" w:hAnsi="Arial"/>
          <w:sz w:val="15"/>
          <w:szCs w:val="15"/>
          <w:color w:val="auto"/>
        </w:rPr>
        <w:t>4HYPUL</w:t>
      </w:r>
      <w:r>
        <w:rPr>
          <w:rFonts w:ascii="PMingLiU" w:cs="PMingLiU" w:eastAsia="PMingLiU" w:hAnsi="PMingLiU"/>
          <w:sz w:val="15"/>
          <w:szCs w:val="15"/>
          <w:color w:val="auto"/>
        </w:rPr>
        <w:t/>
      </w:r>
      <w:r>
        <w:rPr>
          <w:rFonts w:ascii="Arial" w:cs="Arial" w:eastAsia="Arial" w:hAnsi="Arial"/>
          <w:sz w:val="15"/>
          <w:szCs w:val="15"/>
          <w:color w:val="auto"/>
        </w:rPr>
        <w:t>JVU[YPI\[LK</w:t>
      </w:r>
      <w:r>
        <w:rPr>
          <w:rFonts w:ascii="PMingLiU" w:cs="PMingLiU" w:eastAsia="PMingLiU" w:hAnsi="PMingLiU"/>
          <w:sz w:val="15"/>
          <w:szCs w:val="15"/>
          <w:color w:val="auto"/>
        </w:rPr>
        <w:t/>
      </w:r>
      <w:r>
        <w:rPr>
          <w:rFonts w:ascii="Arial" w:cs="Arial" w:eastAsia="Arial" w:hAnsi="Arial"/>
          <w:sz w:val="15"/>
          <w:szCs w:val="15"/>
          <w:color w:val="auto"/>
        </w:rPr>
        <w:t>HWWYV_PTH[LS`</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THYPUL</w:t>
      </w:r>
      <w:r>
        <w:rPr>
          <w:rFonts w:ascii="PMingLiU" w:cs="PMingLiU" w:eastAsia="PMingLiU" w:hAnsi="PMingLiU"/>
          <w:sz w:val="15"/>
          <w:szCs w:val="15"/>
          <w:color w:val="auto"/>
        </w:rPr>
        <w:t/>
      </w:r>
      <w:r>
        <w:rPr>
          <w:rFonts w:ascii="Arial" w:cs="Arial" w:eastAsia="Arial" w:hAnsi="Arial"/>
          <w:sz w:val="15"/>
          <w:szCs w:val="15"/>
          <w:color w:val="auto"/>
        </w:rPr>
        <w:t xml:space="preserve"> transportation revenues.</w:t>
      </w:r>
    </w:p>
    <w:p>
      <w:pPr>
        <w:spacing w:after="0" w:line="200" w:lineRule="exact"/>
        <w:rPr>
          <w:sz w:val="20"/>
          <w:szCs w:val="20"/>
          <w:color w:val="auto"/>
        </w:rPr>
      </w:pPr>
    </w:p>
    <w:p>
      <w:pPr>
        <w:sectPr>
          <w:pgSz w:w="12240" w:h="15840" w:orient="portrait"/>
          <w:cols w:equalWidth="0" w:num="2">
            <w:col w:w="4700" w:space="480"/>
            <w:col w:w="5400"/>
          </w:cols>
          <w:pgMar w:left="800" w:top="653"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80" w:val="left"/>
          <w:tab w:leader="none" w:pos="1660" w:val="left"/>
        </w:tabs>
        <w:rPr>
          <w:sz w:val="20"/>
          <w:szCs w:val="20"/>
          <w:color w:val="auto"/>
        </w:rPr>
      </w:pPr>
      <w:r>
        <w:rPr>
          <w:rFonts w:ascii="Arial" w:cs="Arial" w:eastAsia="Arial" w:hAnsi="Arial"/>
          <w:sz w:val="16"/>
          <w:szCs w:val="16"/>
          <w:color w:val="00712E"/>
        </w:rPr>
        <w:t>4</w:t>
      </w:r>
      <w:r>
        <w:rPr>
          <w:sz w:val="20"/>
          <w:szCs w:val="20"/>
          <w:color w:val="auto"/>
        </w:rPr>
        <w:tab/>
      </w:r>
      <w:r>
        <w:rPr>
          <w:rFonts w:ascii="Arial" w:cs="Arial" w:eastAsia="Arial" w:hAnsi="Arial"/>
          <w:sz w:val="12"/>
          <w:szCs w:val="12"/>
          <w:color w:val="4C4C4C"/>
        </w:rPr>
        <w:t>2025 Annual Report</w:t>
      </w:r>
      <w:r>
        <w:rPr>
          <w:sz w:val="20"/>
          <w:szCs w:val="20"/>
          <w:color w:val="auto"/>
        </w:rPr>
        <w:tab/>
      </w:r>
      <w:r>
        <w:rPr>
          <w:rFonts w:ascii="Arial" w:cs="Arial" w:eastAsia="Arial" w:hAnsi="Arial"/>
          <w:sz w:val="10"/>
          <w:szCs w:val="10"/>
          <w:b w:val="1"/>
          <w:bCs w:val="1"/>
          <w:color w:val="00712E"/>
        </w:rPr>
        <w:t>Kirby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-81915</wp:posOffset>
            </wp:positionV>
            <wp:extent cx="4763" cy="127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extLst>
                    </a:blip>
                    <a:srcRect/>
                    <a:stretch>
                      <a:fillRect/>
                    </a:stretch>
                  </pic:blipFill>
                  <pic:spPr bwMode="auto">
                    <a:xfrm>
                      <a:off x="0" y="0"/>
                      <a:ext cx="4763" cy="127000"/>
                    </a:xfrm>
                    <a:prstGeom prst="rect">
                      <a:avLst/>
                    </a:prstGeom>
                    <a:noFill/>
                  </pic:spPr>
                </pic:pic>
              </a:graphicData>
            </a:graphic>
          </wp:anchor>
        </w:drawing>
      </w:r>
    </w:p>
    <w:p>
      <w:pPr>
        <w:sectPr>
          <w:pgSz w:w="12240" w:h="15840" w:orient="portrait"/>
          <w:cols w:equalWidth="0" w:num="1">
            <w:col w:w="10580"/>
          </w:cols>
          <w:pgMar w:left="800" w:top="653" w:right="860" w:bottom="0" w:gutter="0" w:footer="0" w:header="0"/>
          <w:type w:val="continuous"/>
        </w:sectPr>
      </w:pPr>
    </w:p>
    <w:bookmarkStart w:id="6" w:name="page7"/>
    <w:bookmarkEnd w:id="6"/>
    <w:tbl>
      <w:tblPr>
        <w:tblLayout w:type="fixed"/>
        <w:tblInd w:w="5960" w:type="dxa"/>
        <w:tblCellMar>
          <w:top w:w="0" w:type="dxa"/>
          <w:left w:w="0" w:type="dxa"/>
          <w:bottom w:w="0" w:type="dxa"/>
          <w:right w:w="0" w:type="dxa"/>
        </w:tblCellMar>
      </w:tblPr>
      <w:tr>
        <w:trPr>
          <w:trHeight w:val="368"/>
        </w:trPr>
        <w:tc>
          <w:tcPr>
            <w:tcW w:w="800" w:type="dxa"/>
            <w:vAlign w:val="bottom"/>
          </w:tcPr>
          <w:p>
            <w:pPr>
              <w:spacing w:after="0"/>
              <w:rPr>
                <w:sz w:val="20"/>
                <w:szCs w:val="20"/>
                <w:color w:val="auto"/>
              </w:rPr>
            </w:pPr>
            <w:r>
              <w:rPr>
                <w:rFonts w:ascii="Arial" w:cs="Arial" w:eastAsia="Arial" w:hAnsi="Arial"/>
                <w:sz w:val="16"/>
                <w:szCs w:val="16"/>
                <w:b w:val="1"/>
                <w:bCs w:val="1"/>
                <w:color w:val="auto"/>
                <w:w w:val="81"/>
              </w:rPr>
              <w:t>Inland Ta</w:t>
            </w:r>
            <w:r>
              <w:rPr>
                <w:rFonts w:ascii="Arial" w:cs="Arial" w:eastAsia="Arial" w:hAnsi="Arial"/>
                <w:sz w:val="32"/>
                <w:szCs w:val="32"/>
                <w:b w:val="1"/>
                <w:bCs w:val="1"/>
                <w:color w:val="auto"/>
                <w:w w:val="81"/>
                <w:vertAlign w:val="subscript"/>
              </w:rPr>
              <w:t>nk</w:t>
            </w:r>
          </w:p>
        </w:tc>
        <w:tc>
          <w:tcPr>
            <w:tcW w:w="1000" w:type="dxa"/>
            <w:vAlign w:val="bottom"/>
          </w:tcPr>
          <w:p>
            <w:pPr>
              <w:ind w:left="420"/>
              <w:spacing w:after="0"/>
              <w:rPr>
                <w:sz w:val="20"/>
                <w:szCs w:val="20"/>
                <w:color w:val="auto"/>
              </w:rPr>
            </w:pPr>
            <w:r>
              <w:rPr>
                <w:rFonts w:ascii="Arial" w:cs="Arial" w:eastAsia="Arial" w:hAnsi="Arial"/>
                <w:sz w:val="16"/>
                <w:szCs w:val="16"/>
                <w:b w:val="1"/>
                <w:bCs w:val="1"/>
                <w:color w:val="auto"/>
              </w:rPr>
              <w:t>Fleet*</w:t>
            </w:r>
          </w:p>
        </w:tc>
        <w:tc>
          <w:tcPr>
            <w:tcW w:w="540" w:type="dxa"/>
            <w:vAlign w:val="bottom"/>
          </w:tcPr>
          <w:p>
            <w:pPr>
              <w:spacing w:after="0"/>
              <w:rPr>
                <w:sz w:val="24"/>
                <w:szCs w:val="24"/>
                <w:color w:val="auto"/>
              </w:rPr>
            </w:pPr>
          </w:p>
        </w:tc>
      </w:tr>
      <w:tr>
        <w:trPr>
          <w:trHeight w:val="29"/>
        </w:trPr>
        <w:tc>
          <w:tcPr>
            <w:tcW w:w="1800" w:type="dxa"/>
            <w:vAlign w:val="bottom"/>
            <w:tcBorders>
              <w:bottom w:val="single" w:sz="8" w:color="999999"/>
            </w:tcBorders>
            <w:gridSpan w:val="2"/>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r>
      <w:tr>
        <w:trPr>
          <w:trHeight w:val="196"/>
        </w:trPr>
        <w:tc>
          <w:tcPr>
            <w:tcW w:w="1800" w:type="dxa"/>
            <w:vAlign w:val="bottom"/>
            <w:gridSpan w:val="2"/>
          </w:tcPr>
          <w:p>
            <w:pPr>
              <w:spacing w:after="0"/>
              <w:rPr>
                <w:sz w:val="20"/>
                <w:szCs w:val="20"/>
                <w:color w:val="auto"/>
              </w:rPr>
            </w:pPr>
            <w:r>
              <w:rPr>
                <w:rFonts w:ascii="Arial" w:cs="Arial" w:eastAsia="Arial" w:hAnsi="Arial"/>
                <w:sz w:val="14"/>
                <w:szCs w:val="14"/>
                <w:color w:val="auto"/>
                <w:w w:val="88"/>
              </w:rPr>
              <w:t>P</w:t>
            </w:r>
            <w:r>
              <w:rPr>
                <w:rFonts w:ascii="Arial" w:cs="Arial" w:eastAsia="Arial" w:hAnsi="Arial"/>
                <w:sz w:val="14"/>
                <w:szCs w:val="14"/>
                <w:b w:val="1"/>
                <w:bCs w:val="1"/>
                <w:color w:val="auto"/>
                <w:w w:val="88"/>
              </w:rPr>
              <w:t>e</w:t>
            </w:r>
            <w:r>
              <w:rPr>
                <w:rFonts w:ascii="Arial" w:cs="Arial" w:eastAsia="Arial" w:hAnsi="Arial"/>
                <w:sz w:val="14"/>
                <w:szCs w:val="14"/>
                <w:color w:val="auto"/>
                <w:w w:val="88"/>
              </w:rPr>
              <w:t>trochemicals/refined pr</w:t>
            </w:r>
            <w:r>
              <w:rPr>
                <w:rFonts w:ascii="Arial" w:cs="Arial" w:eastAsia="Arial" w:hAnsi="Arial"/>
                <w:sz w:val="14"/>
                <w:szCs w:val="14"/>
                <w:b w:val="1"/>
                <w:bCs w:val="1"/>
                <w:color w:val="auto"/>
                <w:w w:val="88"/>
              </w:rPr>
              <w:t>o</w:t>
            </w:r>
            <w:r>
              <w:rPr>
                <w:rFonts w:ascii="Arial" w:cs="Arial" w:eastAsia="Arial" w:hAnsi="Arial"/>
                <w:sz w:val="14"/>
                <w:szCs w:val="14"/>
                <w:color w:val="auto"/>
                <w:w w:val="88"/>
              </w:rPr>
              <w:t>ducts</w:t>
            </w:r>
          </w:p>
        </w:tc>
        <w:tc>
          <w:tcPr>
            <w:tcW w:w="540" w:type="dxa"/>
            <w:vAlign w:val="bottom"/>
          </w:tcPr>
          <w:p>
            <w:pPr>
              <w:jc w:val="right"/>
              <w:spacing w:after="0"/>
              <w:rPr>
                <w:sz w:val="20"/>
                <w:szCs w:val="20"/>
                <w:color w:val="auto"/>
              </w:rPr>
            </w:pPr>
            <w:r>
              <w:rPr>
                <w:rFonts w:ascii="Arial" w:cs="Arial" w:eastAsia="Arial" w:hAnsi="Arial"/>
                <w:sz w:val="14"/>
                <w:szCs w:val="14"/>
                <w:color w:val="auto"/>
              </w:rPr>
              <w:t>851</w:t>
            </w:r>
          </w:p>
        </w:tc>
      </w:tr>
      <w:tr>
        <w:trPr>
          <w:trHeight w:val="38"/>
        </w:trPr>
        <w:tc>
          <w:tcPr>
            <w:tcW w:w="800" w:type="dxa"/>
            <w:vAlign w:val="bottom"/>
            <w:tcBorders>
              <w:bottom w:val="single" w:sz="8" w:color="999999"/>
            </w:tcBorders>
          </w:tcPr>
          <w:p>
            <w:pPr>
              <w:spacing w:after="0"/>
              <w:rPr>
                <w:sz w:val="3"/>
                <w:szCs w:val="3"/>
                <w:color w:val="auto"/>
              </w:rPr>
            </w:pPr>
          </w:p>
        </w:tc>
        <w:tc>
          <w:tcPr>
            <w:tcW w:w="10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4"/>
                <w:szCs w:val="14"/>
                <w:color w:val="auto"/>
              </w:rPr>
              <w:t>Black oil</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38"/>
        </w:trPr>
        <w:tc>
          <w:tcPr>
            <w:tcW w:w="800" w:type="dxa"/>
            <w:vAlign w:val="bottom"/>
            <w:tcBorders>
              <w:bottom w:val="single" w:sz="8" w:color="999999"/>
            </w:tcBorders>
          </w:tcPr>
          <w:p>
            <w:pPr>
              <w:spacing w:after="0"/>
              <w:rPr>
                <w:sz w:val="3"/>
                <w:szCs w:val="3"/>
                <w:color w:val="auto"/>
              </w:rPr>
            </w:pPr>
          </w:p>
        </w:tc>
        <w:tc>
          <w:tcPr>
            <w:tcW w:w="10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4"/>
                <w:szCs w:val="14"/>
                <w:color w:val="auto"/>
              </w:rPr>
              <w:t>Pressure</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w:t>
            </w:r>
            <w:r>
              <w:rPr>
                <w:rFonts w:ascii="Arial" w:cs="Arial" w:eastAsia="Arial" w:hAnsi="Arial"/>
                <w:sz w:val="14"/>
                <w:szCs w:val="14"/>
                <w:color w:val="auto"/>
              </w:rPr>
              <w:t>7</w:t>
            </w:r>
          </w:p>
        </w:tc>
      </w:tr>
      <w:tr>
        <w:trPr>
          <w:trHeight w:val="38"/>
        </w:trPr>
        <w:tc>
          <w:tcPr>
            <w:tcW w:w="1800" w:type="dxa"/>
            <w:vAlign w:val="bottom"/>
            <w:tcBorders>
              <w:bottom w:val="single" w:sz="8" w:color="999999"/>
            </w:tcBorders>
            <w:gridSpan w:val="2"/>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r>
      <w:tr>
        <w:trPr>
          <w:trHeight w:val="194"/>
        </w:trPr>
        <w:tc>
          <w:tcPr>
            <w:tcW w:w="1800" w:type="dxa"/>
            <w:vAlign w:val="bottom"/>
            <w:gridSpan w:val="2"/>
          </w:tcPr>
          <w:p>
            <w:pPr>
              <w:spacing w:after="0"/>
              <w:rPr>
                <w:sz w:val="20"/>
                <w:szCs w:val="20"/>
                <w:color w:val="auto"/>
              </w:rPr>
            </w:pPr>
            <w:r>
              <w:rPr>
                <w:rFonts w:ascii="Arial" w:cs="Arial" w:eastAsia="Arial" w:hAnsi="Arial"/>
                <w:sz w:val="14"/>
                <w:szCs w:val="14"/>
                <w:color w:val="auto"/>
              </w:rPr>
              <w:t>Anhydrous ammonia</w:t>
            </w: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7"/>
        </w:trPr>
        <w:tc>
          <w:tcPr>
            <w:tcW w:w="800" w:type="dxa"/>
            <w:vAlign w:val="bottom"/>
            <w:tcBorders>
              <w:bottom w:val="single" w:sz="8" w:color="999999"/>
            </w:tcBorders>
          </w:tcPr>
          <w:p>
            <w:pPr>
              <w:spacing w:after="0"/>
              <w:rPr>
                <w:sz w:val="3"/>
                <w:szCs w:val="3"/>
                <w:color w:val="auto"/>
              </w:rPr>
            </w:pPr>
          </w:p>
        </w:tc>
        <w:tc>
          <w:tcPr>
            <w:tcW w:w="10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1,105</w:t>
            </w:r>
          </w:p>
        </w:tc>
      </w:tr>
      <w:tr>
        <w:trPr>
          <w:trHeight w:val="29"/>
        </w:trPr>
        <w:tc>
          <w:tcPr>
            <w:tcW w:w="80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r>
      <w:tr>
        <w:trPr>
          <w:trHeight w:val="202"/>
        </w:trPr>
        <w:tc>
          <w:tcPr>
            <w:tcW w:w="800" w:type="dxa"/>
            <w:vAlign w:val="bottom"/>
          </w:tcPr>
          <w:p>
            <w:pPr>
              <w:spacing w:after="0"/>
              <w:rPr>
                <w:sz w:val="20"/>
                <w:szCs w:val="20"/>
                <w:color w:val="auto"/>
              </w:rPr>
            </w:pPr>
            <w:r>
              <w:rPr>
                <w:rFonts w:ascii="Arial" w:cs="Arial" w:eastAsia="Arial" w:hAnsi="Arial"/>
                <w:sz w:val="14"/>
                <w:szCs w:val="14"/>
                <w:b w:val="1"/>
                <w:bCs w:val="1"/>
                <w:color w:val="auto"/>
                <w:w w:val="90"/>
              </w:rPr>
              <w:t>Tootal Barrel</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pacity</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24.5 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wp:posOffset>
            </wp:positionH>
            <wp:positionV relativeFrom="page">
              <wp:posOffset>57150</wp:posOffset>
            </wp:positionV>
            <wp:extent cx="7658100" cy="9944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Inland Towboat Fleet*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2"/>
          </w:tcPr>
          <w:p>
            <w:pPr>
              <w:spacing w:after="0"/>
              <w:rPr>
                <w:sz w:val="20"/>
                <w:szCs w:val="20"/>
                <w:color w:val="auto"/>
              </w:rPr>
            </w:pPr>
            <w:r>
              <w:rPr>
                <w:rFonts w:ascii="Arial" w:cs="Arial" w:eastAsia="Arial" w:hAnsi="Arial"/>
                <w:sz w:val="14"/>
                <w:szCs w:val="14"/>
                <w:color w:val="auto"/>
              </w:rPr>
              <w:t>800 - 1300 HP</w:t>
            </w: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7"/>
        </w:trPr>
        <w:tc>
          <w:tcPr>
            <w:tcW w:w="1380" w:type="dxa"/>
            <w:vAlign w:val="bottom"/>
            <w:tcBorders>
              <w:bottom w:val="single" w:sz="8" w:color="999999"/>
            </w:tcBorders>
            <w:gridSpan w:val="2"/>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r>
      <w:tr>
        <w:trPr>
          <w:trHeight w:val="232"/>
        </w:trPr>
        <w:tc>
          <w:tcPr>
            <w:tcW w:w="1380" w:type="dxa"/>
            <w:vAlign w:val="bottom"/>
            <w:tcBorders>
              <w:bottom w:val="single" w:sz="8" w:color="999999"/>
            </w:tcBorders>
            <w:gridSpan w:val="2"/>
          </w:tcPr>
          <w:p>
            <w:pPr>
              <w:spacing w:after="0" w:line="232" w:lineRule="exact"/>
              <w:rPr>
                <w:sz w:val="20"/>
                <w:szCs w:val="20"/>
                <w:color w:val="auto"/>
              </w:rPr>
            </w:pPr>
            <w:r>
              <w:rPr>
                <w:rFonts w:ascii="Arial" w:cs="Arial" w:eastAsia="Arial" w:hAnsi="Arial"/>
                <w:sz w:val="13"/>
                <w:szCs w:val="13"/>
                <w:color w:val="auto"/>
              </w:rPr>
              <w:t>1400 -1900 H</w:t>
            </w:r>
            <w:r>
              <w:rPr>
                <w:rFonts w:ascii="Arial" w:cs="Arial" w:eastAsia="Arial" w:hAnsi="Arial"/>
                <w:sz w:val="26"/>
                <w:szCs w:val="26"/>
                <w:color w:val="auto"/>
                <w:vertAlign w:val="superscript"/>
              </w:rPr>
              <w:t>P</w:t>
            </w:r>
          </w:p>
        </w:tc>
        <w:tc>
          <w:tcPr>
            <w:tcW w:w="5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27</w:t>
            </w:r>
          </w:p>
        </w:tc>
      </w:tr>
      <w:tr>
        <w:trPr>
          <w:trHeight w:val="194"/>
        </w:trPr>
        <w:tc>
          <w:tcPr>
            <w:tcW w:w="1380" w:type="dxa"/>
            <w:vAlign w:val="bottom"/>
            <w:gridSpan w:val="2"/>
          </w:tcPr>
          <w:p>
            <w:pPr>
              <w:spacing w:after="0"/>
              <w:rPr>
                <w:sz w:val="20"/>
                <w:szCs w:val="20"/>
                <w:color w:val="auto"/>
              </w:rPr>
            </w:pPr>
            <w:r>
              <w:rPr>
                <w:rFonts w:ascii="Arial" w:cs="Arial" w:eastAsia="Arial" w:hAnsi="Arial"/>
                <w:sz w:val="14"/>
                <w:szCs w:val="14"/>
                <w:color w:val="auto"/>
              </w:rPr>
              <w:t>2000 - 2400 HP</w:t>
            </w:r>
          </w:p>
        </w:tc>
        <w:tc>
          <w:tcPr>
            <w:tcW w:w="5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38"/>
        </w:trPr>
        <w:tc>
          <w:tcPr>
            <w:tcW w:w="1380" w:type="dxa"/>
            <w:vAlign w:val="bottom"/>
            <w:tcBorders>
              <w:bottom w:val="single" w:sz="8" w:color="999999"/>
            </w:tcBorders>
            <w:gridSpan w:val="2"/>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r>
      <w:tr>
        <w:trPr>
          <w:trHeight w:val="194"/>
        </w:trPr>
        <w:tc>
          <w:tcPr>
            <w:tcW w:w="1380" w:type="dxa"/>
            <w:vAlign w:val="bottom"/>
            <w:gridSpan w:val="2"/>
          </w:tcPr>
          <w:p>
            <w:pPr>
              <w:spacing w:after="0"/>
              <w:rPr>
                <w:sz w:val="20"/>
                <w:szCs w:val="20"/>
                <w:color w:val="auto"/>
              </w:rPr>
            </w:pPr>
            <w:r>
              <w:rPr>
                <w:rFonts w:ascii="Arial" w:cs="Arial" w:eastAsia="Arial" w:hAnsi="Arial"/>
                <w:sz w:val="14"/>
                <w:szCs w:val="14"/>
                <w:color w:val="auto"/>
              </w:rPr>
              <w:t>2500 - 3200 HP</w:t>
            </w: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8"/>
        </w:trPr>
        <w:tc>
          <w:tcPr>
            <w:tcW w:w="30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r>
      <w:tr>
        <w:trPr>
          <w:trHeight w:val="194"/>
        </w:trPr>
        <w:tc>
          <w:tcPr>
            <w:tcW w:w="300" w:type="dxa"/>
            <w:vAlign w:val="bottom"/>
          </w:tcPr>
          <w:p>
            <w:pPr>
              <w:spacing w:after="0"/>
              <w:rPr>
                <w:sz w:val="20"/>
                <w:szCs w:val="20"/>
                <w:color w:val="auto"/>
              </w:rPr>
            </w:pPr>
            <w:r>
              <w:rPr>
                <w:rFonts w:ascii="Arial" w:cs="Arial" w:eastAsia="Arial" w:hAnsi="Arial"/>
                <w:sz w:val="14"/>
                <w:szCs w:val="14"/>
                <w:color w:val="auto"/>
                <w:w w:val="89"/>
              </w:rPr>
              <w:t>3300</w:t>
            </w:r>
          </w:p>
        </w:tc>
        <w:tc>
          <w:tcPr>
            <w:tcW w:w="1080" w:type="dxa"/>
            <w:vAlign w:val="bottom"/>
          </w:tcPr>
          <w:p>
            <w:pPr>
              <w:ind w:left="20"/>
              <w:spacing w:after="0"/>
              <w:rPr>
                <w:sz w:val="20"/>
                <w:szCs w:val="20"/>
                <w:color w:val="auto"/>
              </w:rPr>
            </w:pPr>
            <w:r>
              <w:rPr>
                <w:rFonts w:ascii="Arial" w:cs="Arial" w:eastAsia="Arial" w:hAnsi="Arial"/>
                <w:sz w:val="14"/>
                <w:szCs w:val="14"/>
                <w:color w:val="auto"/>
              </w:rPr>
              <w:t>- 4800 HP</w:t>
            </w: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8"/>
        </w:trPr>
        <w:tc>
          <w:tcPr>
            <w:tcW w:w="30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r>
      <w:tr>
        <w:trPr>
          <w:trHeight w:val="193"/>
        </w:trPr>
        <w:tc>
          <w:tcPr>
            <w:tcW w:w="300" w:type="dxa"/>
            <w:vAlign w:val="bottom"/>
          </w:tcPr>
          <w:p>
            <w:pPr>
              <w:spacing w:after="0"/>
              <w:rPr>
                <w:sz w:val="20"/>
                <w:szCs w:val="20"/>
                <w:color w:val="auto"/>
              </w:rPr>
            </w:pPr>
            <w:r>
              <w:rPr>
                <w:rFonts w:ascii="Arial" w:cs="Arial" w:eastAsia="Arial" w:hAnsi="Arial"/>
                <w:sz w:val="14"/>
                <w:szCs w:val="14"/>
                <w:color w:val="auto"/>
                <w:w w:val="89"/>
              </w:rPr>
              <w:t>5000</w:t>
            </w:r>
          </w:p>
        </w:tc>
        <w:tc>
          <w:tcPr>
            <w:tcW w:w="1080" w:type="dxa"/>
            <w:vAlign w:val="bottom"/>
          </w:tcPr>
          <w:p>
            <w:pPr>
              <w:ind w:left="20"/>
              <w:spacing w:after="0"/>
              <w:rPr>
                <w:sz w:val="20"/>
                <w:szCs w:val="20"/>
                <w:color w:val="auto"/>
              </w:rPr>
            </w:pPr>
            <w:r>
              <w:rPr>
                <w:rFonts w:ascii="Arial" w:cs="Arial" w:eastAsia="Arial" w:hAnsi="Arial"/>
                <w:sz w:val="14"/>
                <w:szCs w:val="14"/>
                <w:color w:val="auto"/>
              </w:rPr>
              <w:t>HP and greater</w:t>
            </w: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8"/>
        </w:trPr>
        <w:tc>
          <w:tcPr>
            <w:tcW w:w="30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r>
      <w:tr>
        <w:trPr>
          <w:trHeight w:val="227"/>
        </w:trPr>
        <w:tc>
          <w:tcPr>
            <w:tcW w:w="300" w:type="dxa"/>
            <w:vAlign w:val="bottom"/>
          </w:tcPr>
          <w:p>
            <w:pPr>
              <w:spacing w:after="0"/>
              <w:rPr>
                <w:sz w:val="20"/>
                <w:szCs w:val="20"/>
                <w:color w:val="auto"/>
              </w:rPr>
            </w:pPr>
            <w:r>
              <w:rPr>
                <w:rFonts w:ascii="Arial" w:cs="Arial" w:eastAsia="Arial" w:hAnsi="Arial"/>
                <w:sz w:val="14"/>
                <w:szCs w:val="14"/>
                <w:b w:val="1"/>
                <w:bCs w:val="1"/>
                <w:color w:val="auto"/>
                <w:w w:val="83"/>
              </w:rPr>
              <w:t>Total</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266</w:t>
            </w:r>
          </w:p>
        </w:tc>
      </w:tr>
    </w:tbl>
    <w:p>
      <w:pPr>
        <w:spacing w:after="0" w:line="200" w:lineRule="exact"/>
        <w:rPr>
          <w:sz w:val="20"/>
          <w:szCs w:val="20"/>
          <w:color w:val="auto"/>
        </w:rPr>
      </w:pPr>
    </w:p>
    <w:p>
      <w:pPr>
        <w:sectPr>
          <w:pgSz w:w="12240" w:h="15840" w:orient="portrait"/>
          <w:cols w:equalWidth="0" w:num="2">
            <w:col w:w="8300" w:space="260"/>
            <w:col w:w="1880"/>
          </w:cols>
          <w:pgMar w:left="1160" w:top="61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10"/>
          <w:szCs w:val="10"/>
          <w:b w:val="1"/>
          <w:bCs w:val="1"/>
          <w:color w:val="00712E"/>
        </w:rPr>
        <w:t xml:space="preserve">TOP: </w:t>
      </w:r>
      <w:r>
        <w:rPr>
          <w:rFonts w:ascii="Arial" w:cs="Arial" w:eastAsia="Arial" w:hAnsi="Arial"/>
          <w:sz w:val="14"/>
          <w:szCs w:val="14"/>
          <w:i w:val="1"/>
          <w:iCs w:val="1"/>
          <w:color w:val="00712E"/>
        </w:rPr>
        <w:t>The</w:t>
      </w:r>
      <w:r>
        <w:rPr>
          <w:rFonts w:ascii="Arial" w:cs="Arial" w:eastAsia="Arial" w:hAnsi="Arial"/>
          <w:sz w:val="10"/>
          <w:szCs w:val="10"/>
          <w:b w:val="1"/>
          <w:bCs w:val="1"/>
          <w:color w:val="00712E"/>
        </w:rPr>
        <w:t xml:space="preserve"> </w:t>
      </w:r>
      <w:r>
        <w:rPr>
          <w:rFonts w:ascii="Arial" w:cs="Arial" w:eastAsia="Arial" w:hAnsi="Arial"/>
          <w:sz w:val="14"/>
          <w:szCs w:val="14"/>
          <w:color w:val="00712E"/>
        </w:rPr>
        <w:t>M/V Jason McDaniel</w:t>
      </w:r>
      <w:r>
        <w:rPr>
          <w:rFonts w:ascii="Arial" w:cs="Arial" w:eastAsia="Arial" w:hAnsi="Arial"/>
          <w:sz w:val="10"/>
          <w:szCs w:val="10"/>
          <w:b w:val="1"/>
          <w:bCs w:val="1"/>
          <w:color w:val="00712E"/>
        </w:rPr>
        <w:t xml:space="preserve"> </w:t>
      </w:r>
      <w:r>
        <w:rPr>
          <w:rFonts w:ascii="Arial" w:cs="Arial" w:eastAsia="Arial" w:hAnsi="Arial"/>
          <w:sz w:val="14"/>
          <w:szCs w:val="14"/>
          <w:i w:val="1"/>
          <w:iCs w:val="1"/>
          <w:color w:val="00712E"/>
        </w:rPr>
        <w:t>northbound on the Mississippi River in St. Louis with six loaded barges.</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0"/>
          <w:szCs w:val="10"/>
          <w:b w:val="1"/>
          <w:bCs w:val="1"/>
          <w:color w:val="00712E"/>
        </w:rPr>
        <w:t xml:space="preserve">BOTTOM: </w:t>
      </w:r>
      <w:r>
        <w:rPr>
          <w:rFonts w:ascii="Arial" w:cs="Arial" w:eastAsia="Arial" w:hAnsi="Arial"/>
          <w:sz w:val="14"/>
          <w:szCs w:val="14"/>
          <w:i w:val="1"/>
          <w:iCs w:val="1"/>
          <w:color w:val="00712E"/>
        </w:rPr>
        <w:t>The</w:t>
      </w:r>
      <w:r>
        <w:rPr>
          <w:rFonts w:ascii="Arial" w:cs="Arial" w:eastAsia="Arial" w:hAnsi="Arial"/>
          <w:sz w:val="10"/>
          <w:szCs w:val="10"/>
          <w:b w:val="1"/>
          <w:bCs w:val="1"/>
          <w:color w:val="00712E"/>
        </w:rPr>
        <w:t xml:space="preserve"> </w:t>
      </w:r>
      <w:r>
        <w:rPr>
          <w:rFonts w:ascii="Arial" w:cs="Arial" w:eastAsia="Arial" w:hAnsi="Arial"/>
          <w:sz w:val="14"/>
          <w:szCs w:val="14"/>
          <w:color w:val="00712E"/>
        </w:rPr>
        <w:t>M/V Cape Henry</w:t>
      </w:r>
      <w:r>
        <w:rPr>
          <w:rFonts w:ascii="Arial" w:cs="Arial" w:eastAsia="Arial" w:hAnsi="Arial"/>
          <w:sz w:val="10"/>
          <w:szCs w:val="10"/>
          <w:b w:val="1"/>
          <w:bCs w:val="1"/>
          <w:color w:val="00712E"/>
        </w:rPr>
        <w:t xml:space="preserve"> </w:t>
      </w:r>
      <w:r>
        <w:rPr>
          <w:rFonts w:ascii="Arial" w:cs="Arial" w:eastAsia="Arial" w:hAnsi="Arial"/>
          <w:sz w:val="14"/>
          <w:szCs w:val="14"/>
          <w:i w:val="1"/>
          <w:iCs w:val="1"/>
          <w:color w:val="00712E"/>
        </w:rPr>
        <w:t>headed up the East Coast to New York.</w:t>
      </w:r>
    </w:p>
    <w:p>
      <w:pPr>
        <w:sectPr>
          <w:pgSz w:w="12240" w:h="15840" w:orient="portrait"/>
          <w:cols w:equalWidth="0" w:num="1">
            <w:col w:w="10440"/>
          </w:cols>
          <w:pgMar w:left="1160" w:top="615"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Coastal Tank Barge Fleet*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FFFFFF"/>
                <w:w w:val="88"/>
              </w:rPr>
              <w:t>Petrochemicals/refined products</w:t>
            </w:r>
          </w:p>
        </w:tc>
        <w:tc>
          <w:tcPr>
            <w:tcW w:w="500" w:type="dxa"/>
            <w:vAlign w:val="bottom"/>
          </w:tcPr>
          <w:p>
            <w:pPr>
              <w:jc w:val="right"/>
              <w:spacing w:after="0"/>
              <w:rPr>
                <w:sz w:val="20"/>
                <w:szCs w:val="20"/>
                <w:color w:val="auto"/>
              </w:rPr>
            </w:pPr>
            <w:r>
              <w:rPr>
                <w:rFonts w:ascii="Arial" w:cs="Arial" w:eastAsia="Arial" w:hAnsi="Arial"/>
                <w:sz w:val="14"/>
                <w:szCs w:val="14"/>
                <w:color w:val="FFFFFF"/>
              </w:rPr>
              <w:t>20</w:t>
            </w:r>
          </w:p>
        </w:tc>
      </w:tr>
      <w:tr>
        <w:trPr>
          <w:trHeight w:val="38"/>
        </w:trPr>
        <w:tc>
          <w:tcPr>
            <w:tcW w:w="1800" w:type="dxa"/>
            <w:vAlign w:val="bottom"/>
            <w:tcBorders>
              <w:bottom w:val="single" w:sz="8" w:color="999999"/>
            </w:tcBorders>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r>
      <w:tr>
        <w:trPr>
          <w:trHeight w:val="193"/>
        </w:trPr>
        <w:tc>
          <w:tcPr>
            <w:tcW w:w="1800" w:type="dxa"/>
            <w:vAlign w:val="bottom"/>
          </w:tcPr>
          <w:p>
            <w:pPr>
              <w:spacing w:after="0"/>
              <w:rPr>
                <w:sz w:val="20"/>
                <w:szCs w:val="20"/>
                <w:color w:val="auto"/>
              </w:rPr>
            </w:pPr>
            <w:r>
              <w:rPr>
                <w:rFonts w:ascii="Arial" w:cs="Arial" w:eastAsia="Arial" w:hAnsi="Arial"/>
                <w:sz w:val="14"/>
                <w:szCs w:val="14"/>
                <w:color w:val="FFFFFF"/>
              </w:rPr>
              <w:t>Black oil</w:t>
            </w:r>
          </w:p>
        </w:tc>
        <w:tc>
          <w:tcPr>
            <w:tcW w:w="500" w:type="dxa"/>
            <w:vAlign w:val="bottom"/>
          </w:tcPr>
          <w:p>
            <w:pPr>
              <w:jc w:val="right"/>
              <w:spacing w:after="0"/>
              <w:rPr>
                <w:sz w:val="20"/>
                <w:szCs w:val="20"/>
                <w:color w:val="auto"/>
              </w:rPr>
            </w:pPr>
            <w:r>
              <w:rPr>
                <w:rFonts w:ascii="Arial" w:cs="Arial" w:eastAsia="Arial" w:hAnsi="Arial"/>
                <w:sz w:val="14"/>
                <w:szCs w:val="14"/>
                <w:color w:val="FFFFFF"/>
              </w:rPr>
              <w:t>8</w:t>
            </w:r>
          </w:p>
        </w:tc>
      </w:tr>
      <w:tr>
        <w:trPr>
          <w:trHeight w:val="38"/>
        </w:trPr>
        <w:tc>
          <w:tcPr>
            <w:tcW w:w="1800" w:type="dxa"/>
            <w:vAlign w:val="bottom"/>
            <w:tcBorders>
              <w:bottom w:val="single" w:sz="8" w:color="999999"/>
            </w:tcBorders>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r>
      <w:tr>
        <w:trPr>
          <w:trHeight w:val="209"/>
        </w:trPr>
        <w:tc>
          <w:tcPr>
            <w:tcW w:w="1800" w:type="dxa"/>
            <w:vAlign w:val="bottom"/>
          </w:tcPr>
          <w:p>
            <w:pPr>
              <w:spacing w:after="0"/>
              <w:rPr>
                <w:sz w:val="20"/>
                <w:szCs w:val="20"/>
                <w:color w:val="auto"/>
              </w:rPr>
            </w:pPr>
            <w:r>
              <w:rPr>
                <w:rFonts w:ascii="Arial" w:cs="Arial" w:eastAsia="Arial" w:hAnsi="Arial"/>
                <w:sz w:val="14"/>
                <w:szCs w:val="14"/>
                <w:b w:val="1"/>
                <w:bCs w:val="1"/>
                <w:color w:val="FFFFFF"/>
              </w:rPr>
              <w:t>Total</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FFFFFF"/>
              </w:rPr>
              <w:t>28</w:t>
            </w:r>
          </w:p>
        </w:tc>
      </w:tr>
      <w:tr>
        <w:trPr>
          <w:trHeight w:val="31"/>
        </w:trPr>
        <w:tc>
          <w:tcPr>
            <w:tcW w:w="180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r>
      <w:tr>
        <w:trPr>
          <w:trHeight w:val="208"/>
        </w:trPr>
        <w:tc>
          <w:tcPr>
            <w:tcW w:w="1800" w:type="dxa"/>
            <w:vAlign w:val="bottom"/>
          </w:tcPr>
          <w:p>
            <w:pPr>
              <w:spacing w:after="0"/>
              <w:rPr>
                <w:sz w:val="20"/>
                <w:szCs w:val="20"/>
                <w:color w:val="auto"/>
              </w:rPr>
            </w:pPr>
            <w:r>
              <w:rPr>
                <w:rFonts w:ascii="Arial" w:cs="Arial" w:eastAsia="Arial" w:hAnsi="Arial"/>
                <w:sz w:val="14"/>
                <w:szCs w:val="14"/>
                <w:b w:val="1"/>
                <w:bCs w:val="1"/>
                <w:color w:val="FFFFFF"/>
              </w:rPr>
              <w:t>Total Barrel Capacity</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FFFFFF"/>
              </w:rPr>
              <w:t>2.9 MM</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Coastal Tugboat Fleet*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20"/>
                <w:szCs w:val="20"/>
                <w:color w:val="auto"/>
              </w:rPr>
            </w:pPr>
            <w:r>
              <w:rPr>
                <w:rFonts w:ascii="Arial" w:cs="Arial" w:eastAsia="Arial" w:hAnsi="Arial"/>
                <w:sz w:val="14"/>
                <w:szCs w:val="14"/>
                <w:color w:val="FFFFFF"/>
                <w:w w:val="89"/>
              </w:rPr>
              <w:t>3000</w:t>
            </w:r>
          </w:p>
        </w:tc>
        <w:tc>
          <w:tcPr>
            <w:tcW w:w="1120" w:type="dxa"/>
            <w:vAlign w:val="bottom"/>
          </w:tcPr>
          <w:p>
            <w:pPr>
              <w:ind w:left="20"/>
              <w:spacing w:after="0"/>
              <w:rPr>
                <w:sz w:val="20"/>
                <w:szCs w:val="20"/>
                <w:color w:val="auto"/>
              </w:rPr>
            </w:pPr>
            <w:r>
              <w:rPr>
                <w:rFonts w:ascii="Arial" w:cs="Arial" w:eastAsia="Arial" w:hAnsi="Arial"/>
                <w:sz w:val="14"/>
                <w:szCs w:val="14"/>
                <w:color w:val="FFFFFF"/>
              </w:rPr>
              <w:t>-3900 HP</w:t>
            </w:r>
          </w:p>
        </w:tc>
        <w:tc>
          <w:tcPr>
            <w:tcW w:w="460" w:type="dxa"/>
            <w:vAlign w:val="bottom"/>
          </w:tcPr>
          <w:p>
            <w:pPr>
              <w:jc w:val="right"/>
              <w:spacing w:after="0"/>
              <w:rPr>
                <w:sz w:val="20"/>
                <w:szCs w:val="20"/>
                <w:color w:val="auto"/>
              </w:rPr>
            </w:pPr>
            <w:r>
              <w:rPr>
                <w:rFonts w:ascii="Arial" w:cs="Arial" w:eastAsia="Arial" w:hAnsi="Arial"/>
                <w:sz w:val="14"/>
                <w:szCs w:val="14"/>
                <w:color w:val="FFFFFF"/>
              </w:rPr>
              <w:t>2</w:t>
            </w:r>
          </w:p>
        </w:tc>
      </w:tr>
      <w:tr>
        <w:trPr>
          <w:trHeight w:val="38"/>
        </w:trPr>
        <w:tc>
          <w:tcPr>
            <w:tcW w:w="300" w:type="dxa"/>
            <w:vAlign w:val="bottom"/>
            <w:tcBorders>
              <w:bottom w:val="single" w:sz="8" w:color="999999"/>
            </w:tcBorders>
          </w:tcPr>
          <w:p>
            <w:pPr>
              <w:spacing w:after="0"/>
              <w:rPr>
                <w:sz w:val="3"/>
                <w:szCs w:val="3"/>
                <w:color w:val="auto"/>
              </w:rPr>
            </w:pPr>
          </w:p>
        </w:tc>
        <w:tc>
          <w:tcPr>
            <w:tcW w:w="1120" w:type="dxa"/>
            <w:vAlign w:val="bottom"/>
            <w:tcBorders>
              <w:bottom w:val="single" w:sz="8" w:color="999999"/>
            </w:tcBorders>
          </w:tcPr>
          <w:p>
            <w:pPr>
              <w:spacing w:after="0"/>
              <w:rPr>
                <w:sz w:val="3"/>
                <w:szCs w:val="3"/>
                <w:color w:val="auto"/>
              </w:rPr>
            </w:pPr>
          </w:p>
        </w:tc>
        <w:tc>
          <w:tcPr>
            <w:tcW w:w="460" w:type="dxa"/>
            <w:vAlign w:val="bottom"/>
            <w:tcBorders>
              <w:bottom w:val="single" w:sz="8" w:color="999999"/>
            </w:tcBorders>
          </w:tcPr>
          <w:p>
            <w:pPr>
              <w:spacing w:after="0"/>
              <w:rPr>
                <w:sz w:val="3"/>
                <w:szCs w:val="3"/>
                <w:color w:val="auto"/>
              </w:rPr>
            </w:pPr>
          </w:p>
        </w:tc>
      </w:tr>
      <w:tr>
        <w:trPr>
          <w:trHeight w:val="194"/>
        </w:trPr>
        <w:tc>
          <w:tcPr>
            <w:tcW w:w="300" w:type="dxa"/>
            <w:vAlign w:val="bottom"/>
          </w:tcPr>
          <w:p>
            <w:pPr>
              <w:spacing w:after="0"/>
              <w:rPr>
                <w:sz w:val="20"/>
                <w:szCs w:val="20"/>
                <w:color w:val="auto"/>
              </w:rPr>
            </w:pPr>
            <w:r>
              <w:rPr>
                <w:rFonts w:ascii="Arial" w:cs="Arial" w:eastAsia="Arial" w:hAnsi="Arial"/>
                <w:sz w:val="14"/>
                <w:szCs w:val="14"/>
                <w:color w:val="FFFFFF"/>
                <w:w w:val="89"/>
              </w:rPr>
              <w:t>4000</w:t>
            </w:r>
          </w:p>
        </w:tc>
        <w:tc>
          <w:tcPr>
            <w:tcW w:w="1120" w:type="dxa"/>
            <w:vAlign w:val="bottom"/>
          </w:tcPr>
          <w:p>
            <w:pPr>
              <w:ind w:left="20"/>
              <w:spacing w:after="0"/>
              <w:rPr>
                <w:sz w:val="20"/>
                <w:szCs w:val="20"/>
                <w:color w:val="auto"/>
              </w:rPr>
            </w:pPr>
            <w:r>
              <w:rPr>
                <w:rFonts w:ascii="Arial" w:cs="Arial" w:eastAsia="Arial" w:hAnsi="Arial"/>
                <w:sz w:val="14"/>
                <w:szCs w:val="14"/>
                <w:color w:val="FFFFFF"/>
              </w:rPr>
              <w:t>- 4900 HP</w:t>
            </w:r>
          </w:p>
        </w:tc>
        <w:tc>
          <w:tcPr>
            <w:tcW w:w="460" w:type="dxa"/>
            <w:vAlign w:val="bottom"/>
          </w:tcPr>
          <w:p>
            <w:pPr>
              <w:jc w:val="right"/>
              <w:spacing w:after="0"/>
              <w:rPr>
                <w:sz w:val="20"/>
                <w:szCs w:val="20"/>
                <w:color w:val="auto"/>
              </w:rPr>
            </w:pPr>
            <w:r>
              <w:rPr>
                <w:rFonts w:ascii="Arial" w:cs="Arial" w:eastAsia="Arial" w:hAnsi="Arial"/>
                <w:sz w:val="14"/>
                <w:szCs w:val="14"/>
                <w:color w:val="FFFFFF"/>
              </w:rPr>
              <w:t>6</w:t>
            </w:r>
          </w:p>
        </w:tc>
      </w:tr>
      <w:tr>
        <w:trPr>
          <w:trHeight w:val="38"/>
        </w:trPr>
        <w:tc>
          <w:tcPr>
            <w:tcW w:w="300" w:type="dxa"/>
            <w:vAlign w:val="bottom"/>
            <w:tcBorders>
              <w:bottom w:val="single" w:sz="8" w:color="999999"/>
            </w:tcBorders>
          </w:tcPr>
          <w:p>
            <w:pPr>
              <w:spacing w:after="0"/>
              <w:rPr>
                <w:sz w:val="3"/>
                <w:szCs w:val="3"/>
                <w:color w:val="auto"/>
              </w:rPr>
            </w:pPr>
          </w:p>
        </w:tc>
        <w:tc>
          <w:tcPr>
            <w:tcW w:w="1120" w:type="dxa"/>
            <w:vAlign w:val="bottom"/>
            <w:tcBorders>
              <w:bottom w:val="single" w:sz="8" w:color="999999"/>
            </w:tcBorders>
          </w:tcPr>
          <w:p>
            <w:pPr>
              <w:spacing w:after="0"/>
              <w:rPr>
                <w:sz w:val="3"/>
                <w:szCs w:val="3"/>
                <w:color w:val="auto"/>
              </w:rPr>
            </w:pPr>
          </w:p>
        </w:tc>
        <w:tc>
          <w:tcPr>
            <w:tcW w:w="460" w:type="dxa"/>
            <w:vAlign w:val="bottom"/>
            <w:tcBorders>
              <w:bottom w:val="single" w:sz="8" w:color="999999"/>
            </w:tcBorders>
          </w:tcPr>
          <w:p>
            <w:pPr>
              <w:spacing w:after="0"/>
              <w:rPr>
                <w:sz w:val="3"/>
                <w:szCs w:val="3"/>
                <w:color w:val="auto"/>
              </w:rPr>
            </w:pPr>
          </w:p>
        </w:tc>
      </w:tr>
      <w:tr>
        <w:trPr>
          <w:trHeight w:val="194"/>
        </w:trPr>
        <w:tc>
          <w:tcPr>
            <w:tcW w:w="300" w:type="dxa"/>
            <w:vAlign w:val="bottom"/>
          </w:tcPr>
          <w:p>
            <w:pPr>
              <w:spacing w:after="0"/>
              <w:rPr>
                <w:sz w:val="20"/>
                <w:szCs w:val="20"/>
                <w:color w:val="auto"/>
              </w:rPr>
            </w:pPr>
            <w:r>
              <w:rPr>
                <w:rFonts w:ascii="Arial" w:cs="Arial" w:eastAsia="Arial" w:hAnsi="Arial"/>
                <w:sz w:val="14"/>
                <w:szCs w:val="14"/>
                <w:color w:val="FFFFFF"/>
                <w:w w:val="89"/>
              </w:rPr>
              <w:t>5000</w:t>
            </w:r>
          </w:p>
        </w:tc>
        <w:tc>
          <w:tcPr>
            <w:tcW w:w="1120" w:type="dxa"/>
            <w:vAlign w:val="bottom"/>
          </w:tcPr>
          <w:p>
            <w:pPr>
              <w:ind w:left="20"/>
              <w:spacing w:after="0"/>
              <w:rPr>
                <w:sz w:val="20"/>
                <w:szCs w:val="20"/>
                <w:color w:val="auto"/>
              </w:rPr>
            </w:pPr>
            <w:r>
              <w:rPr>
                <w:rFonts w:ascii="Arial" w:cs="Arial" w:eastAsia="Arial" w:hAnsi="Arial"/>
                <w:sz w:val="14"/>
                <w:szCs w:val="14"/>
                <w:color w:val="FFFFFF"/>
              </w:rPr>
              <w:t>- 6900 HP</w:t>
            </w:r>
          </w:p>
        </w:tc>
        <w:tc>
          <w:tcPr>
            <w:tcW w:w="460" w:type="dxa"/>
            <w:vAlign w:val="bottom"/>
          </w:tcPr>
          <w:p>
            <w:pPr>
              <w:jc w:val="right"/>
              <w:spacing w:after="0"/>
              <w:rPr>
                <w:sz w:val="20"/>
                <w:szCs w:val="20"/>
                <w:color w:val="auto"/>
              </w:rPr>
            </w:pPr>
            <w:r>
              <w:rPr>
                <w:rFonts w:ascii="Arial" w:cs="Arial" w:eastAsia="Arial" w:hAnsi="Arial"/>
                <w:sz w:val="14"/>
                <w:szCs w:val="14"/>
                <w:color w:val="FFFFFF"/>
              </w:rPr>
              <w:t>10</w:t>
            </w:r>
          </w:p>
        </w:tc>
      </w:tr>
      <w:tr>
        <w:trPr>
          <w:trHeight w:val="38"/>
        </w:trPr>
        <w:tc>
          <w:tcPr>
            <w:tcW w:w="1420" w:type="dxa"/>
            <w:vAlign w:val="bottom"/>
            <w:tcBorders>
              <w:bottom w:val="single" w:sz="8" w:color="999999"/>
            </w:tcBorders>
            <w:gridSpan w:val="2"/>
          </w:tcPr>
          <w:p>
            <w:pPr>
              <w:spacing w:after="0"/>
              <w:rPr>
                <w:sz w:val="3"/>
                <w:szCs w:val="3"/>
                <w:color w:val="auto"/>
              </w:rPr>
            </w:pPr>
          </w:p>
        </w:tc>
        <w:tc>
          <w:tcPr>
            <w:tcW w:w="460" w:type="dxa"/>
            <w:vAlign w:val="bottom"/>
            <w:tcBorders>
              <w:bottom w:val="single" w:sz="8" w:color="999999"/>
            </w:tcBorders>
          </w:tcPr>
          <w:p>
            <w:pPr>
              <w:spacing w:after="0"/>
              <w:rPr>
                <w:sz w:val="3"/>
                <w:szCs w:val="3"/>
                <w:color w:val="auto"/>
              </w:rPr>
            </w:pPr>
          </w:p>
        </w:tc>
      </w:tr>
      <w:tr>
        <w:trPr>
          <w:trHeight w:val="193"/>
        </w:trPr>
        <w:tc>
          <w:tcPr>
            <w:tcW w:w="1420" w:type="dxa"/>
            <w:vAlign w:val="bottom"/>
            <w:gridSpan w:val="2"/>
          </w:tcPr>
          <w:p>
            <w:pPr>
              <w:spacing w:after="0"/>
              <w:rPr>
                <w:sz w:val="20"/>
                <w:szCs w:val="20"/>
                <w:color w:val="auto"/>
              </w:rPr>
            </w:pPr>
            <w:r>
              <w:rPr>
                <w:rFonts w:ascii="Arial" w:cs="Arial" w:eastAsia="Arial" w:hAnsi="Arial"/>
                <w:sz w:val="14"/>
                <w:szCs w:val="14"/>
                <w:color w:val="FFFFFF"/>
              </w:rPr>
              <w:t>7000 HP and greater</w:t>
            </w:r>
          </w:p>
        </w:tc>
        <w:tc>
          <w:tcPr>
            <w:tcW w:w="460" w:type="dxa"/>
            <w:vAlign w:val="bottom"/>
          </w:tcPr>
          <w:p>
            <w:pPr>
              <w:jc w:val="right"/>
              <w:spacing w:after="0"/>
              <w:rPr>
                <w:sz w:val="20"/>
                <w:szCs w:val="20"/>
                <w:color w:val="auto"/>
              </w:rPr>
            </w:pPr>
            <w:r>
              <w:rPr>
                <w:rFonts w:ascii="Arial" w:cs="Arial" w:eastAsia="Arial" w:hAnsi="Arial"/>
                <w:sz w:val="14"/>
                <w:szCs w:val="14"/>
                <w:color w:val="FFFFFF"/>
              </w:rPr>
              <w:t>6</w:t>
            </w:r>
          </w:p>
        </w:tc>
      </w:tr>
      <w:tr>
        <w:trPr>
          <w:trHeight w:val="38"/>
        </w:trPr>
        <w:tc>
          <w:tcPr>
            <w:tcW w:w="300" w:type="dxa"/>
            <w:vAlign w:val="bottom"/>
            <w:tcBorders>
              <w:bottom w:val="single" w:sz="8" w:color="999999"/>
            </w:tcBorders>
          </w:tcPr>
          <w:p>
            <w:pPr>
              <w:spacing w:after="0"/>
              <w:rPr>
                <w:sz w:val="3"/>
                <w:szCs w:val="3"/>
                <w:color w:val="auto"/>
              </w:rPr>
            </w:pPr>
          </w:p>
        </w:tc>
        <w:tc>
          <w:tcPr>
            <w:tcW w:w="1120" w:type="dxa"/>
            <w:vAlign w:val="bottom"/>
            <w:tcBorders>
              <w:bottom w:val="single" w:sz="8" w:color="999999"/>
            </w:tcBorders>
          </w:tcPr>
          <w:p>
            <w:pPr>
              <w:spacing w:after="0"/>
              <w:rPr>
                <w:sz w:val="3"/>
                <w:szCs w:val="3"/>
                <w:color w:val="auto"/>
              </w:rPr>
            </w:pPr>
          </w:p>
        </w:tc>
        <w:tc>
          <w:tcPr>
            <w:tcW w:w="460" w:type="dxa"/>
            <w:vAlign w:val="bottom"/>
            <w:tcBorders>
              <w:bottom w:val="single" w:sz="8" w:color="999999"/>
            </w:tcBorders>
          </w:tcPr>
          <w:p>
            <w:pPr>
              <w:spacing w:after="0"/>
              <w:rPr>
                <w:sz w:val="3"/>
                <w:szCs w:val="3"/>
                <w:color w:val="auto"/>
              </w:rPr>
            </w:pPr>
          </w:p>
        </w:tc>
      </w:tr>
      <w:tr>
        <w:trPr>
          <w:trHeight w:val="227"/>
        </w:trPr>
        <w:tc>
          <w:tcPr>
            <w:tcW w:w="300" w:type="dxa"/>
            <w:vAlign w:val="bottom"/>
          </w:tcPr>
          <w:p>
            <w:pPr>
              <w:spacing w:after="0"/>
              <w:rPr>
                <w:sz w:val="20"/>
                <w:szCs w:val="20"/>
                <w:color w:val="auto"/>
              </w:rPr>
            </w:pPr>
            <w:r>
              <w:rPr>
                <w:rFonts w:ascii="Arial" w:cs="Arial" w:eastAsia="Arial" w:hAnsi="Arial"/>
                <w:sz w:val="14"/>
                <w:szCs w:val="14"/>
                <w:b w:val="1"/>
                <w:bCs w:val="1"/>
                <w:color w:val="FFFFFF"/>
                <w:w w:val="83"/>
              </w:rPr>
              <w:t>Total</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FFFFFF"/>
              </w:rPr>
              <w:t>24</w:t>
            </w:r>
          </w:p>
        </w:tc>
      </w:tr>
    </w:tbl>
    <w:p>
      <w:pPr>
        <w:spacing w:after="0" w:line="195" w:lineRule="exact"/>
        <w:rPr>
          <w:sz w:val="20"/>
          <w:szCs w:val="20"/>
          <w:color w:val="auto"/>
        </w:rPr>
      </w:pPr>
    </w:p>
    <w:p>
      <w:pPr>
        <w:sectPr>
          <w:pgSz w:w="12240" w:h="15840" w:orient="portrait"/>
          <w:cols w:equalWidth="0" w:num="2">
            <w:col w:w="2300" w:space="280"/>
            <w:col w:w="7860"/>
          </w:cols>
          <w:pgMar w:left="1160" w:top="615" w:right="640" w:bottom="0" w:gutter="0" w:footer="0" w:header="0"/>
          <w:type w:val="continuous"/>
        </w:sectPr>
      </w:pPr>
    </w:p>
    <w:p>
      <w:pPr>
        <w:spacing w:after="0"/>
        <w:rPr>
          <w:sz w:val="20"/>
          <w:szCs w:val="20"/>
          <w:color w:val="auto"/>
        </w:rPr>
      </w:pPr>
      <w:r>
        <w:rPr>
          <w:rFonts w:ascii="Arial" w:cs="Arial" w:eastAsia="Arial" w:hAnsi="Arial"/>
          <w:sz w:val="12"/>
          <w:szCs w:val="12"/>
          <w:color w:val="FFFFFF"/>
        </w:rPr>
        <w:t>* as of December 31, 2025</w:t>
      </w:r>
    </w:p>
    <w:p>
      <w:pPr>
        <w:spacing w:after="0" w:line="155" w:lineRule="exact"/>
        <w:rPr>
          <w:sz w:val="20"/>
          <w:szCs w:val="20"/>
          <w:color w:val="auto"/>
        </w:rPr>
      </w:pPr>
    </w:p>
    <w:tbl>
      <w:tblPr>
        <w:tblLayout w:type="fixed"/>
        <w:tblInd w:w="7720" w:type="dxa"/>
        <w:tblCellMar>
          <w:top w:w="0" w:type="dxa"/>
          <w:left w:w="0" w:type="dxa"/>
          <w:bottom w:w="0" w:type="dxa"/>
          <w:right w:w="0" w:type="dxa"/>
        </w:tblCellMar>
      </w:tblPr>
      <w:tr>
        <w:trPr>
          <w:trHeight w:val="235"/>
        </w:trPr>
        <w:tc>
          <w:tcPr>
            <w:tcW w:w="2220" w:type="dxa"/>
            <w:vAlign w:val="bottom"/>
          </w:tcPr>
          <w:p>
            <w:pPr>
              <w:spacing w:after="0"/>
              <w:rPr>
                <w:sz w:val="20"/>
                <w:szCs w:val="20"/>
                <w:color w:val="auto"/>
              </w:rPr>
            </w:pPr>
            <w:r>
              <w:rPr>
                <w:rFonts w:ascii="Arial" w:cs="Arial" w:eastAsia="Arial" w:hAnsi="Arial"/>
                <w:sz w:val="12"/>
                <w:szCs w:val="12"/>
                <w:b w:val="1"/>
                <w:bCs w:val="1"/>
                <w:color w:val="FFFFFF"/>
                <w:w w:val="99"/>
              </w:rPr>
              <w:t xml:space="preserve">Kirby Corporation </w:t>
            </w:r>
            <w:r>
              <w:rPr>
                <w:rFonts w:ascii="Arial" w:cs="Arial" w:eastAsia="Arial" w:hAnsi="Arial"/>
                <w:sz w:val="20"/>
                <w:szCs w:val="20"/>
                <w:color w:val="FFFFFF"/>
                <w:w w:val="99"/>
              </w:rPr>
              <w:t>|</w:t>
            </w:r>
            <w:r>
              <w:rPr>
                <w:rFonts w:ascii="Arial" w:cs="Arial" w:eastAsia="Arial" w:hAnsi="Arial"/>
                <w:sz w:val="12"/>
                <w:szCs w:val="12"/>
                <w:b w:val="1"/>
                <w:bCs w:val="1"/>
                <w:color w:val="FFFFFF"/>
                <w:w w:val="99"/>
              </w:rPr>
              <w:t xml:space="preserve"> </w:t>
            </w:r>
            <w:r>
              <w:rPr>
                <w:rFonts w:ascii="Arial" w:cs="Arial" w:eastAsia="Arial" w:hAnsi="Arial"/>
                <w:sz w:val="12"/>
                <w:szCs w:val="12"/>
                <w:color w:val="FFFFFF"/>
                <w:w w:val="99"/>
              </w:rPr>
              <w:t>2025 Annual Report</w:t>
            </w:r>
          </w:p>
        </w:tc>
        <w:tc>
          <w:tcPr>
            <w:tcW w:w="340" w:type="dxa"/>
            <w:vAlign w:val="bottom"/>
          </w:tcPr>
          <w:p>
            <w:pPr>
              <w:jc w:val="right"/>
              <w:spacing w:after="0"/>
              <w:rPr>
                <w:sz w:val="20"/>
                <w:szCs w:val="20"/>
                <w:color w:val="auto"/>
              </w:rPr>
            </w:pPr>
            <w:r>
              <w:rPr>
                <w:rFonts w:ascii="Arial" w:cs="Arial" w:eastAsia="Arial" w:hAnsi="Arial"/>
                <w:sz w:val="16"/>
                <w:szCs w:val="16"/>
                <w:color w:val="FFFFFF"/>
              </w:rPr>
              <w:t>5</w:t>
            </w:r>
          </w:p>
        </w:tc>
      </w:tr>
    </w:tbl>
    <w:p>
      <w:pPr>
        <w:sectPr>
          <w:pgSz w:w="12240" w:h="15840" w:orient="portrait"/>
          <w:cols w:equalWidth="0" w:num="1">
            <w:col w:w="10440"/>
          </w:cols>
          <w:pgMar w:left="1160" w:top="615" w:right="640" w:bottom="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40"/>
          <w:szCs w:val="40"/>
          <w:b w:val="1"/>
          <w:bCs w:val="1"/>
          <w:color w:val="00712E"/>
        </w:rPr>
        <w:t>Distribution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right="800"/>
        <w:spacing w:after="0" w:line="331" w:lineRule="auto"/>
        <w:rPr>
          <w:sz w:val="20"/>
          <w:szCs w:val="20"/>
          <w:color w:val="auto"/>
        </w:rPr>
      </w:pPr>
      <w:r>
        <w:rPr>
          <w:rFonts w:ascii="Arial" w:cs="Arial" w:eastAsia="Arial" w:hAnsi="Arial"/>
          <w:sz w:val="19"/>
          <w:szCs w:val="19"/>
          <w:color w:val="00712E"/>
        </w:rPr>
        <w:t>In the distribution and services segment, Kirby Corporation operates through its wholly owned subsidiaries Stewart &amp; Stevenson and United Holdings, as well as through Kirby Engine Systems’ wholly owned subsidiaries Marine Systems and Engine Systems. Kirby is a nationwide service provider and distributor of power generation equipment, engines, transmissions, parts, industrial equipment, and oilfield services equipment. Kirby’s distribution and services businesses operate in three distinct and diversified markets: power generation, commercial and industrial, and oil and gas. At the end of 2025, Kirby’s distribution and services segment had approximately 2,072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109220</wp:posOffset>
            </wp:positionV>
            <wp:extent cx="7658100" cy="7331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extLst>
                    </a:blip>
                    <a:srcRect/>
                    <a:stretch>
                      <a:fillRect/>
                    </a:stretch>
                  </pic:blipFill>
                  <pic:spPr bwMode="auto">
                    <a:xfrm>
                      <a:off x="0" y="0"/>
                      <a:ext cx="7658100" cy="7331075"/>
                    </a:xfrm>
                    <a:prstGeom prst="rect">
                      <a:avLst/>
                    </a:prstGeom>
                    <a:noFill/>
                  </pic:spPr>
                </pic:pic>
              </a:graphicData>
            </a:graphic>
          </wp:anchor>
        </w:drawing>
      </w:r>
    </w:p>
    <w:p>
      <w:pPr>
        <w:sectPr>
          <w:pgSz w:w="12240" w:h="15840" w:orient="portrait"/>
          <w:cols w:equalWidth="0" w:num="1">
            <w:col w:w="10620"/>
          </w:cols>
          <w:pgMar w:left="800" w:top="6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00712E"/>
        </w:rPr>
        <w:t>Kirby’s distribution and services businesses operate in three distinct and diversified markets: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00712E"/>
        </w:rPr>
        <w:t>Power Generation, Commercial and Industrial, and Oil and Gas.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001E58"/>
        </w:rPr>
        <w:t>2025 Revenues By Industry</w:t>
      </w:r>
    </w:p>
    <w:p>
      <w:pPr>
        <w:spacing w:after="0" w:line="673" w:lineRule="exact"/>
        <w:rPr>
          <w:sz w:val="20"/>
          <w:szCs w:val="20"/>
          <w:color w:val="auto"/>
        </w:rPr>
      </w:pPr>
    </w:p>
    <w:p>
      <w:pPr>
        <w:sectPr>
          <w:pgSz w:w="12240" w:h="15840" w:orient="portrait"/>
          <w:cols w:equalWidth="0" w:num="2">
            <w:col w:w="7980" w:space="720"/>
            <w:col w:w="1920"/>
          </w:cols>
          <w:pgMar w:left="800" w:top="653" w:right="820" w:bottom="0" w:gutter="0" w:footer="0" w:header="0"/>
          <w:type w:val="continuous"/>
        </w:sect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746"/>
        </w:trPr>
        <w:tc>
          <w:tcPr>
            <w:tcW w:w="2160" w:type="dxa"/>
            <w:vAlign w:val="bottom"/>
          </w:tcPr>
          <w:p>
            <w:pPr>
              <w:spacing w:after="0"/>
              <w:rPr>
                <w:sz w:val="20"/>
                <w:szCs w:val="20"/>
                <w:color w:val="auto"/>
              </w:rPr>
            </w:pPr>
            <w:r>
              <w:rPr>
                <w:rFonts w:ascii="Arial" w:cs="Arial" w:eastAsia="Arial" w:hAnsi="Arial"/>
                <w:sz w:val="41"/>
                <w:szCs w:val="41"/>
                <w:b w:val="1"/>
                <w:bCs w:val="1"/>
                <w:color w:val="001E58"/>
              </w:rPr>
              <w:t>~</w:t>
            </w:r>
            <w:r>
              <w:rPr>
                <w:rFonts w:ascii="Arial" w:cs="Arial" w:eastAsia="Arial" w:hAnsi="Arial"/>
                <w:sz w:val="56"/>
                <w:szCs w:val="56"/>
                <w:b w:val="1"/>
                <w:bCs w:val="1"/>
                <w:color w:val="001E58"/>
              </w:rPr>
              <w:t>1</w:t>
            </w:r>
            <w:r>
              <w:rPr>
                <w:rFonts w:ascii="Arial" w:cs="Arial" w:eastAsia="Arial" w:hAnsi="Arial"/>
                <w:sz w:val="41"/>
                <w:szCs w:val="41"/>
                <w:b w:val="1"/>
                <w:bCs w:val="1"/>
                <w:color w:val="001E58"/>
              </w:rPr>
              <w:t>,</w:t>
            </w:r>
            <w:r>
              <w:rPr>
                <w:rFonts w:ascii="Arial" w:cs="Arial" w:eastAsia="Arial" w:hAnsi="Arial"/>
                <w:sz w:val="56"/>
                <w:szCs w:val="56"/>
                <w:b w:val="1"/>
                <w:bCs w:val="1"/>
                <w:color w:val="001E58"/>
              </w:rPr>
              <w:t>000</w:t>
            </w:r>
          </w:p>
        </w:tc>
        <w:tc>
          <w:tcPr>
            <w:tcW w:w="1980" w:type="dxa"/>
            <w:vAlign w:val="bottom"/>
          </w:tcPr>
          <w:p>
            <w:pPr>
              <w:ind w:left="140"/>
              <w:spacing w:after="0"/>
              <w:rPr>
                <w:sz w:val="20"/>
                <w:szCs w:val="20"/>
                <w:color w:val="auto"/>
              </w:rPr>
            </w:pPr>
            <w:r>
              <w:rPr>
                <w:rFonts w:ascii="Arial" w:cs="Arial" w:eastAsia="Arial" w:hAnsi="Arial"/>
                <w:sz w:val="56"/>
                <w:szCs w:val="56"/>
                <w:b w:val="1"/>
                <w:bCs w:val="1"/>
                <w:color w:val="001E58"/>
              </w:rPr>
              <w:t>250</w:t>
            </w:r>
          </w:p>
        </w:tc>
        <w:tc>
          <w:tcPr>
            <w:tcW w:w="1860" w:type="dxa"/>
            <w:vAlign w:val="bottom"/>
          </w:tcPr>
          <w:p>
            <w:pPr>
              <w:ind w:left="320"/>
              <w:spacing w:after="0"/>
              <w:rPr>
                <w:sz w:val="20"/>
                <w:szCs w:val="20"/>
                <w:color w:val="auto"/>
              </w:rPr>
            </w:pPr>
            <w:r>
              <w:rPr>
                <w:rFonts w:ascii="Arial" w:cs="Arial" w:eastAsia="Arial" w:hAnsi="Arial"/>
                <w:sz w:val="56"/>
                <w:szCs w:val="56"/>
                <w:b w:val="1"/>
                <w:bCs w:val="1"/>
                <w:color w:val="001E58"/>
              </w:rPr>
              <w:t>650</w:t>
            </w:r>
          </w:p>
        </w:tc>
        <w:tc>
          <w:tcPr>
            <w:tcW w:w="2360" w:type="dxa"/>
            <w:vAlign w:val="bottom"/>
          </w:tcPr>
          <w:p>
            <w:pPr>
              <w:ind w:left="320"/>
              <w:spacing w:after="0"/>
              <w:rPr>
                <w:sz w:val="20"/>
                <w:szCs w:val="20"/>
                <w:color w:val="auto"/>
              </w:rPr>
            </w:pPr>
            <w:r>
              <w:rPr>
                <w:rFonts w:ascii="Arial" w:cs="Arial" w:eastAsia="Arial" w:hAnsi="Arial"/>
                <w:sz w:val="56"/>
                <w:szCs w:val="56"/>
                <w:b w:val="1"/>
                <w:bCs w:val="1"/>
                <w:color w:val="001E58"/>
              </w:rPr>
              <w:t>2</w:t>
            </w:r>
            <w:r>
              <w:rPr>
                <w:rFonts w:ascii="Arial" w:cs="Arial" w:eastAsia="Arial" w:hAnsi="Arial"/>
                <w:sz w:val="40"/>
                <w:szCs w:val="40"/>
                <w:b w:val="1"/>
                <w:bCs w:val="1"/>
                <w:color w:val="001E58"/>
              </w:rPr>
              <w:t>.</w:t>
            </w:r>
            <w:r>
              <w:rPr>
                <w:rFonts w:ascii="Arial" w:cs="Arial" w:eastAsia="Arial" w:hAnsi="Arial"/>
                <w:sz w:val="56"/>
                <w:szCs w:val="56"/>
                <w:b w:val="1"/>
                <w:bCs w:val="1"/>
                <w:color w:val="001E58"/>
              </w:rPr>
              <w:t>5MM</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line="212" w:lineRule="exact"/>
              <w:rPr>
                <w:sz w:val="20"/>
                <w:szCs w:val="20"/>
                <w:color w:val="auto"/>
              </w:rPr>
            </w:pPr>
            <w:r>
              <w:rPr>
                <w:rFonts w:ascii="Arial" w:cs="Arial" w:eastAsia="Arial" w:hAnsi="Arial"/>
                <w:sz w:val="18"/>
                <w:szCs w:val="18"/>
                <w:color w:val="00712E"/>
              </w:rPr>
              <w:t>8\HSPÄLK</w:t>
            </w:r>
            <w:r>
              <w:rPr>
                <w:rFonts w:ascii="PMingLiU" w:cs="PMingLiU" w:eastAsia="PMingLiU" w:hAnsi="PMingLiU"/>
                <w:sz w:val="18"/>
                <w:szCs w:val="18"/>
                <w:color w:val="00712E"/>
              </w:rPr>
              <w:t/>
            </w:r>
            <w:r>
              <w:rPr>
                <w:rFonts w:ascii="Arial" w:cs="Arial" w:eastAsia="Arial" w:hAnsi="Arial"/>
                <w:sz w:val="18"/>
                <w:szCs w:val="18"/>
                <w:color w:val="00712E"/>
              </w:rPr>
              <w:t>;LJOUPJPHUZ</w:t>
            </w:r>
            <w:r>
              <w:rPr>
                <w:rFonts w:ascii="PMingLiU" w:cs="PMingLiU" w:eastAsia="PMingLiU" w:hAnsi="PMingLiU"/>
                <w:sz w:val="18"/>
                <w:szCs w:val="18"/>
                <w:color w:val="00712E"/>
              </w:rPr>
              <w:t/>
            </w:r>
          </w:p>
        </w:tc>
        <w:tc>
          <w:tcPr>
            <w:tcW w:w="1980" w:type="dxa"/>
            <w:vAlign w:val="bottom"/>
          </w:tcPr>
          <w:p>
            <w:pPr>
              <w:ind w:left="140"/>
              <w:spacing w:after="0"/>
              <w:rPr>
                <w:sz w:val="20"/>
                <w:szCs w:val="20"/>
                <w:color w:val="auto"/>
              </w:rPr>
            </w:pPr>
            <w:r>
              <w:rPr>
                <w:rFonts w:ascii="Arial" w:cs="Arial" w:eastAsia="Arial" w:hAnsi="Arial"/>
                <w:sz w:val="18"/>
                <w:szCs w:val="18"/>
                <w:color w:val="00712E"/>
              </w:rPr>
              <w:t>Sales Professionals</w:t>
            </w:r>
          </w:p>
        </w:tc>
        <w:tc>
          <w:tcPr>
            <w:tcW w:w="1860" w:type="dxa"/>
            <w:vAlign w:val="bottom"/>
          </w:tcPr>
          <w:p>
            <w:pPr>
              <w:ind w:left="320"/>
              <w:spacing w:after="0"/>
              <w:rPr>
                <w:sz w:val="20"/>
                <w:szCs w:val="20"/>
                <w:color w:val="auto"/>
              </w:rPr>
            </w:pPr>
            <w:r>
              <w:rPr>
                <w:rFonts w:ascii="Arial" w:cs="Arial" w:eastAsia="Arial" w:hAnsi="Arial"/>
                <w:sz w:val="18"/>
                <w:szCs w:val="18"/>
                <w:color w:val="00712E"/>
              </w:rPr>
              <w:t>Service and</w:t>
            </w:r>
          </w:p>
        </w:tc>
        <w:tc>
          <w:tcPr>
            <w:tcW w:w="2360" w:type="dxa"/>
            <w:vAlign w:val="bottom"/>
          </w:tcPr>
          <w:p>
            <w:pPr>
              <w:ind w:left="320"/>
              <w:spacing w:after="0" w:line="212" w:lineRule="exact"/>
              <w:rPr>
                <w:sz w:val="20"/>
                <w:szCs w:val="20"/>
                <w:color w:val="auto"/>
              </w:rPr>
            </w:pPr>
            <w:r>
              <w:rPr>
                <w:rFonts w:ascii="Arial" w:cs="Arial" w:eastAsia="Arial" w:hAnsi="Arial"/>
                <w:sz w:val="18"/>
                <w:szCs w:val="18"/>
                <w:color w:val="00712E"/>
              </w:rPr>
              <w:t>:X\HYL</w:t>
            </w:r>
            <w:r>
              <w:rPr>
                <w:rFonts w:ascii="PMingLiU" w:cs="PMingLiU" w:eastAsia="PMingLiU" w:hAnsi="PMingLiU"/>
                <w:sz w:val="18"/>
                <w:szCs w:val="18"/>
                <w:color w:val="00712E"/>
              </w:rPr>
              <w:t/>
            </w:r>
            <w:r>
              <w:rPr>
                <w:rFonts w:ascii="Arial" w:cs="Arial" w:eastAsia="Arial" w:hAnsi="Arial"/>
                <w:sz w:val="18"/>
                <w:szCs w:val="18"/>
                <w:color w:val="00712E"/>
              </w:rPr>
              <w:t>-LL[</w:t>
            </w:r>
            <w:r>
              <w:rPr>
                <w:rFonts w:ascii="PMingLiU" w:cs="PMingLiU" w:eastAsia="PMingLiU" w:hAnsi="PMingLiU"/>
                <w:sz w:val="18"/>
                <w:szCs w:val="18"/>
                <w:color w:val="00712E"/>
              </w:rPr>
              <w:t/>
            </w:r>
            <w:r>
              <w:rPr>
                <w:rFonts w:ascii="Arial" w:cs="Arial" w:eastAsia="Arial" w:hAnsi="Arial"/>
                <w:sz w:val="18"/>
                <w:szCs w:val="18"/>
                <w:color w:val="00712E"/>
              </w:rPr>
              <w:t>VM</w:t>
            </w:r>
            <w:r>
              <w:rPr>
                <w:rFonts w:ascii="PMingLiU" w:cs="PMingLiU" w:eastAsia="PMingLiU" w:hAnsi="PMingLiU"/>
                <w:sz w:val="18"/>
                <w:szCs w:val="18"/>
                <w:color w:val="00712E"/>
              </w:rPr>
              <w:t/>
            </w:r>
          </w:p>
        </w:tc>
        <w:tc>
          <w:tcPr>
            <w:tcW w:w="2240" w:type="dxa"/>
            <w:vAlign w:val="bottom"/>
            <w:gridSpan w:val="4"/>
            <w:vMerge w:val="restart"/>
          </w:tcPr>
          <w:p>
            <w:pPr>
              <w:ind w:left="600"/>
              <w:spacing w:after="0"/>
              <w:rPr>
                <w:sz w:val="20"/>
                <w:szCs w:val="20"/>
                <w:color w:val="auto"/>
              </w:rPr>
            </w:pPr>
            <w:r>
              <w:rPr>
                <w:rFonts w:ascii="Arial" w:cs="Arial" w:eastAsia="Arial" w:hAnsi="Arial"/>
                <w:sz w:val="18"/>
                <w:szCs w:val="18"/>
                <w:b w:val="1"/>
                <w:bCs w:val="1"/>
                <w:color w:val="001E58"/>
                <w:w w:val="87"/>
              </w:rPr>
              <w:t>46</w:t>
            </w:r>
            <w:r>
              <w:rPr>
                <w:rFonts w:ascii="Arial" w:cs="Arial" w:eastAsia="Arial" w:hAnsi="Arial"/>
                <w:sz w:val="20"/>
                <w:szCs w:val="20"/>
                <w:b w:val="1"/>
                <w:bCs w:val="1"/>
                <w:color w:val="001E58"/>
                <w:w w:val="87"/>
                <w:vertAlign w:val="superscript"/>
              </w:rPr>
              <w:t>%</w:t>
            </w:r>
            <w:r>
              <w:rPr>
                <w:rFonts w:ascii="Arial" w:cs="Arial" w:eastAsia="Arial" w:hAnsi="Arial"/>
                <w:sz w:val="18"/>
                <w:szCs w:val="18"/>
                <w:b w:val="1"/>
                <w:bCs w:val="1"/>
                <w:color w:val="001E58"/>
                <w:w w:val="87"/>
              </w:rPr>
              <w:t xml:space="preserve"> </w:t>
            </w:r>
            <w:r>
              <w:rPr>
                <w:rFonts w:ascii="Arial" w:cs="Arial" w:eastAsia="Arial" w:hAnsi="Arial"/>
                <w:sz w:val="14"/>
                <w:szCs w:val="14"/>
                <w:color w:val="001E58"/>
                <w:w w:val="87"/>
              </w:rPr>
              <w:t>Commercial &amp; Industrial</w:t>
            </w:r>
          </w:p>
        </w:tc>
        <w:tc>
          <w:tcPr>
            <w:tcW w:w="0" w:type="dxa"/>
            <w:vAlign w:val="bottom"/>
          </w:tcPr>
          <w:p>
            <w:pPr>
              <w:spacing w:after="0"/>
              <w:rPr>
                <w:sz w:val="1"/>
                <w:szCs w:val="1"/>
                <w:color w:val="auto"/>
              </w:rPr>
            </w:pPr>
          </w:p>
        </w:tc>
      </w:tr>
      <w:tr>
        <w:trPr>
          <w:trHeight w:val="172"/>
        </w:trPr>
        <w:tc>
          <w:tcPr>
            <w:tcW w:w="2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60" w:type="dxa"/>
            <w:vAlign w:val="bottom"/>
            <w:vMerge w:val="restart"/>
          </w:tcPr>
          <w:p>
            <w:pPr>
              <w:ind w:left="320"/>
              <w:spacing w:after="0"/>
              <w:rPr>
                <w:sz w:val="20"/>
                <w:szCs w:val="20"/>
                <w:color w:val="auto"/>
              </w:rPr>
            </w:pPr>
            <w:r>
              <w:rPr>
                <w:rFonts w:ascii="Arial" w:cs="Arial" w:eastAsia="Arial" w:hAnsi="Arial"/>
                <w:sz w:val="18"/>
                <w:szCs w:val="18"/>
                <w:color w:val="00712E"/>
              </w:rPr>
              <w:t>Assembly Bays</w:t>
            </w:r>
          </w:p>
        </w:tc>
        <w:tc>
          <w:tcPr>
            <w:tcW w:w="2360" w:type="dxa"/>
            <w:vAlign w:val="bottom"/>
            <w:vMerge w:val="restart"/>
          </w:tcPr>
          <w:p>
            <w:pPr>
              <w:ind w:left="320"/>
              <w:spacing w:after="0"/>
              <w:rPr>
                <w:sz w:val="20"/>
                <w:szCs w:val="20"/>
                <w:color w:val="auto"/>
              </w:rPr>
            </w:pPr>
            <w:r>
              <w:rPr>
                <w:rFonts w:ascii="Arial" w:cs="Arial" w:eastAsia="Arial" w:hAnsi="Arial"/>
                <w:sz w:val="18"/>
                <w:szCs w:val="18"/>
                <w:color w:val="00712E"/>
              </w:rPr>
              <w:t>Shop Capacity</w:t>
            </w:r>
          </w:p>
        </w:tc>
        <w:tc>
          <w:tcPr>
            <w:tcW w:w="2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2360" w:type="dxa"/>
            <w:vAlign w:val="bottom"/>
            <w:vMerge w:val="continue"/>
          </w:tcPr>
          <w:p>
            <w:pPr>
              <w:spacing w:after="0"/>
              <w:rPr>
                <w:sz w:val="3"/>
                <w:szCs w:val="3"/>
                <w:color w:val="auto"/>
              </w:rPr>
            </w:pPr>
          </w:p>
        </w:tc>
        <w:tc>
          <w:tcPr>
            <w:tcW w:w="2240" w:type="dxa"/>
            <w:vAlign w:val="bottom"/>
            <w:gridSpan w:val="4"/>
            <w:vMerge w:val="restart"/>
          </w:tcPr>
          <w:p>
            <w:pPr>
              <w:ind w:left="600"/>
              <w:spacing w:after="0"/>
              <w:rPr>
                <w:sz w:val="20"/>
                <w:szCs w:val="20"/>
                <w:color w:val="auto"/>
              </w:rPr>
            </w:pPr>
            <w:r>
              <w:rPr>
                <w:rFonts w:ascii="Arial" w:cs="Arial" w:eastAsia="Arial" w:hAnsi="Arial"/>
                <w:sz w:val="18"/>
                <w:szCs w:val="18"/>
                <w:b w:val="1"/>
                <w:bCs w:val="1"/>
                <w:color w:val="001E58"/>
              </w:rPr>
              <w:t>43</w:t>
            </w:r>
            <w:r>
              <w:rPr>
                <w:rFonts w:ascii="Arial" w:cs="Arial" w:eastAsia="Arial" w:hAnsi="Arial"/>
                <w:sz w:val="20"/>
                <w:szCs w:val="20"/>
                <w:b w:val="1"/>
                <w:bCs w:val="1"/>
                <w:color w:val="001E58"/>
                <w:vertAlign w:val="superscript"/>
              </w:rPr>
              <w:t>%</w:t>
            </w:r>
            <w:r>
              <w:rPr>
                <w:rFonts w:ascii="Arial" w:cs="Arial" w:eastAsia="Arial" w:hAnsi="Arial"/>
                <w:sz w:val="18"/>
                <w:szCs w:val="18"/>
                <w:b w:val="1"/>
                <w:bCs w:val="1"/>
                <w:color w:val="001E58"/>
              </w:rPr>
              <w:t xml:space="preserve"> </w:t>
            </w:r>
            <w:r>
              <w:rPr>
                <w:rFonts w:ascii="Arial" w:cs="Arial" w:eastAsia="Arial" w:hAnsi="Arial"/>
                <w:sz w:val="14"/>
                <w:szCs w:val="14"/>
                <w:color w:val="001E58"/>
              </w:rPr>
              <w:t>Power Generation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2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b w:val="1"/>
                <w:bCs w:val="1"/>
                <w:color w:val="001E58"/>
              </w:rPr>
              <w:t>11</w:t>
            </w:r>
            <w:r>
              <w:rPr>
                <w:rFonts w:ascii="Arial" w:cs="Arial" w:eastAsia="Arial" w:hAnsi="Arial"/>
                <w:sz w:val="20"/>
                <w:szCs w:val="20"/>
                <w:b w:val="1"/>
                <w:bCs w:val="1"/>
                <w:color w:val="001E58"/>
                <w:vertAlign w:val="superscript"/>
              </w:rPr>
              <w:t>%</w:t>
            </w:r>
            <w:r>
              <w:rPr>
                <w:rFonts w:ascii="Arial" w:cs="Arial" w:eastAsia="Arial" w:hAnsi="Arial"/>
                <w:sz w:val="18"/>
                <w:szCs w:val="18"/>
                <w:b w:val="1"/>
                <w:bCs w:val="1"/>
                <w:color w:val="001E58"/>
              </w:rPr>
              <w:t xml:space="preserve"> </w:t>
            </w:r>
            <w:r>
              <w:rPr>
                <w:rFonts w:ascii="Arial" w:cs="Arial" w:eastAsia="Arial" w:hAnsi="Arial"/>
                <w:sz w:val="14"/>
                <w:szCs w:val="14"/>
                <w:color w:val="001E58"/>
              </w:rPr>
              <w:t>Oil &amp; Gas</w:t>
            </w:r>
          </w:p>
        </w:tc>
        <w:tc>
          <w:tcPr>
            <w:tcW w:w="0" w:type="dxa"/>
            <w:vAlign w:val="bottom"/>
          </w:tcPr>
          <w:p>
            <w:pPr>
              <w:spacing w:after="0"/>
              <w:rPr>
                <w:sz w:val="1"/>
                <w:szCs w:val="1"/>
                <w:color w:val="auto"/>
              </w:rPr>
            </w:pPr>
          </w:p>
        </w:tc>
      </w:tr>
      <w:tr>
        <w:trPr>
          <w:trHeight w:val="638"/>
        </w:trPr>
        <w:tc>
          <w:tcPr>
            <w:tcW w:w="2160" w:type="dxa"/>
            <w:vAlign w:val="bottom"/>
          </w:tcPr>
          <w:p>
            <w:pPr>
              <w:ind w:left="1660"/>
              <w:spacing w:after="0"/>
              <w:rPr>
                <w:sz w:val="20"/>
                <w:szCs w:val="20"/>
                <w:color w:val="auto"/>
              </w:rPr>
            </w:pPr>
            <w:r>
              <w:rPr>
                <w:rFonts w:ascii="Arial" w:cs="Arial" w:eastAsia="Arial" w:hAnsi="Arial"/>
                <w:sz w:val="14"/>
                <w:szCs w:val="14"/>
                <w:color w:val="auto"/>
                <w:highlight w:val="lightGray"/>
              </w:rPr>
              <w:t>S</w:t>
            </w:r>
            <w:r>
              <w:rPr>
                <w:rFonts w:ascii="Arial" w:cs="Arial" w:eastAsia="Arial" w:hAnsi="Arial"/>
                <w:sz w:val="14"/>
                <w:szCs w:val="14"/>
                <w:color w:val="auto"/>
                <w:highlight w:val="white"/>
              </w:rPr>
              <w:t>eattle</w:t>
            </w: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060" w:type="dxa"/>
            <w:vAlign w:val="bottom"/>
            <w:gridSpan w:val="3"/>
          </w:tcPr>
          <w:p>
            <w:pPr>
              <w:jc w:val="right"/>
              <w:ind w:right="8260"/>
              <w:spacing w:after="0"/>
              <w:rPr>
                <w:sz w:val="20"/>
                <w:szCs w:val="20"/>
                <w:color w:val="auto"/>
              </w:rPr>
            </w:pPr>
            <w:r>
              <w:rPr>
                <w:rFonts w:ascii="Arial" w:cs="Arial" w:eastAsia="Arial" w:hAnsi="Arial"/>
                <w:sz w:val="14"/>
                <w:szCs w:val="14"/>
                <w:color w:val="auto"/>
                <w:shd w:val="clear" w:color="auto" w:fill="F2F2F2"/>
              </w:rPr>
              <w:t>Shreveport</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shd w:val="clear" w:color="auto" w:fill="F2F2F2"/>
              </w:rPr>
              <w:t>Albany</w:t>
            </w:r>
          </w:p>
        </w:tc>
        <w:tc>
          <w:tcPr>
            <w:tcW w:w="0" w:type="dxa"/>
            <w:vAlign w:val="bottom"/>
          </w:tcPr>
          <w:p>
            <w:pPr>
              <w:spacing w:after="0"/>
              <w:rPr>
                <w:sz w:val="1"/>
                <w:szCs w:val="1"/>
                <w:color w:val="auto"/>
              </w:rPr>
            </w:pPr>
          </w:p>
        </w:tc>
      </w:tr>
      <w:tr>
        <w:trPr>
          <w:trHeight w:val="36"/>
        </w:trPr>
        <w:tc>
          <w:tcPr>
            <w:tcW w:w="220" w:type="dxa"/>
            <w:vAlign w:val="bottom"/>
            <w:vMerge w:val="restart"/>
          </w:tcPr>
          <w:p>
            <w:pPr>
              <w:spacing w:after="0"/>
              <w:rPr>
                <w:sz w:val="3"/>
                <w:szCs w:val="3"/>
                <w:color w:val="auto"/>
              </w:rPr>
            </w:pPr>
          </w:p>
        </w:tc>
        <w:tc>
          <w:tcPr>
            <w:tcW w:w="580" w:type="dxa"/>
            <w:vAlign w:val="bottom"/>
          </w:tcPr>
          <w:p>
            <w:pPr>
              <w:spacing w:after="0"/>
              <w:rPr>
                <w:sz w:val="3"/>
                <w:szCs w:val="3"/>
                <w:color w:val="auto"/>
              </w:rPr>
            </w:pPr>
          </w:p>
        </w:tc>
        <w:tc>
          <w:tcPr>
            <w:tcW w:w="8260" w:type="dxa"/>
            <w:vAlign w:val="bottom"/>
            <w:vMerge w:val="restart"/>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8"/>
        </w:trPr>
        <w:tc>
          <w:tcPr>
            <w:tcW w:w="220" w:type="dxa"/>
            <w:vAlign w:val="bottom"/>
            <w:vMerge w:val="continue"/>
          </w:tcPr>
          <w:p>
            <w:pPr>
              <w:spacing w:after="0"/>
              <w:rPr>
                <w:sz w:val="8"/>
                <w:szCs w:val="8"/>
                <w:color w:val="auto"/>
              </w:rPr>
            </w:pPr>
          </w:p>
        </w:tc>
        <w:tc>
          <w:tcPr>
            <w:tcW w:w="580" w:type="dxa"/>
            <w:vAlign w:val="bottom"/>
            <w:shd w:val="clear" w:color="auto" w:fill="F2F2F2"/>
          </w:tcPr>
          <w:p>
            <w:pPr>
              <w:jc w:val="right"/>
              <w:spacing w:after="0" w:line="99" w:lineRule="exact"/>
              <w:rPr>
                <w:sz w:val="20"/>
                <w:szCs w:val="20"/>
                <w:color w:val="auto"/>
              </w:rPr>
            </w:pPr>
            <w:r>
              <w:rPr>
                <w:rFonts w:ascii="Arial" w:cs="Arial" w:eastAsia="Arial" w:hAnsi="Arial"/>
                <w:sz w:val="11"/>
                <w:szCs w:val="11"/>
                <w:color w:val="auto"/>
              </w:rPr>
              <w:t>Little Rock</w:t>
            </w:r>
          </w:p>
        </w:tc>
        <w:tc>
          <w:tcPr>
            <w:tcW w:w="82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8840" w:type="dxa"/>
            <w:vAlign w:val="bottom"/>
            <w:gridSpan w:val="2"/>
          </w:tcPr>
          <w:p>
            <w:pPr>
              <w:jc w:val="right"/>
              <w:ind w:right="8260"/>
              <w:spacing w:after="0"/>
              <w:rPr>
                <w:sz w:val="20"/>
                <w:szCs w:val="20"/>
                <w:color w:val="auto"/>
              </w:rPr>
            </w:pPr>
            <w:r>
              <w:rPr>
                <w:rFonts w:ascii="Arial" w:cs="Arial" w:eastAsia="Arial" w:hAnsi="Arial"/>
                <w:sz w:val="14"/>
                <w:szCs w:val="14"/>
                <w:color w:val="auto"/>
                <w:shd w:val="clear" w:color="auto" w:fill="F2F2F2"/>
              </w:rPr>
              <w:t>Tulsa</w:t>
            </w:r>
          </w:p>
        </w:tc>
        <w:tc>
          <w:tcPr>
            <w:tcW w:w="700" w:type="dxa"/>
            <w:vAlign w:val="bottom"/>
            <w:gridSpan w:val="2"/>
          </w:tcPr>
          <w:p>
            <w:pPr>
              <w:spacing w:after="0"/>
              <w:rPr>
                <w:sz w:val="20"/>
                <w:szCs w:val="20"/>
                <w:color w:val="auto"/>
              </w:rPr>
            </w:pPr>
            <w:r>
              <w:rPr>
                <w:rFonts w:ascii="Arial" w:cs="Arial" w:eastAsia="Arial" w:hAnsi="Arial"/>
                <w:sz w:val="14"/>
                <w:szCs w:val="14"/>
                <w:color w:val="auto"/>
                <w:w w:val="86"/>
                <w:shd w:val="clear" w:color="auto" w:fill="F2F2F2"/>
              </w:rPr>
              <w:t>Marlborough</w:t>
            </w:r>
          </w:p>
        </w:tc>
        <w:tc>
          <w:tcPr>
            <w:tcW w:w="0" w:type="dxa"/>
            <w:vAlign w:val="bottom"/>
          </w:tcPr>
          <w:p>
            <w:pPr>
              <w:spacing w:after="0"/>
              <w:rPr>
                <w:sz w:val="1"/>
                <w:szCs w:val="1"/>
                <w:color w:val="auto"/>
              </w:rPr>
            </w:pPr>
          </w:p>
        </w:tc>
      </w:tr>
      <w:tr>
        <w:trPr>
          <w:trHeight w:val="45"/>
        </w:trPr>
        <w:tc>
          <w:tcPr>
            <w:tcW w:w="9060" w:type="dxa"/>
            <w:vAlign w:val="bottom"/>
            <w:gridSpan w:val="3"/>
            <w:vMerge w:val="restart"/>
          </w:tcPr>
          <w:p>
            <w:pPr>
              <w:jc w:val="right"/>
              <w:ind w:right="8260"/>
              <w:spacing w:after="0" w:line="144" w:lineRule="exact"/>
              <w:rPr>
                <w:sz w:val="20"/>
                <w:szCs w:val="20"/>
                <w:color w:val="auto"/>
              </w:rPr>
            </w:pPr>
            <w:r>
              <w:rPr>
                <w:rFonts w:ascii="Arial" w:cs="Arial" w:eastAsia="Arial" w:hAnsi="Arial"/>
                <w:sz w:val="14"/>
                <w:szCs w:val="14"/>
                <w:color w:val="auto"/>
                <w:w w:val="84"/>
                <w:shd w:val="clear" w:color="auto" w:fill="F2F2F2"/>
              </w:rPr>
              <w:t>Oklahoma City</w:t>
            </w:r>
          </w:p>
        </w:tc>
        <w:tc>
          <w:tcPr>
            <w:tcW w:w="6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9060" w:type="dxa"/>
            <w:vAlign w:val="bottom"/>
            <w:gridSpan w:val="3"/>
            <w:vMerge w:val="continue"/>
          </w:tcPr>
          <w:p>
            <w:pPr>
              <w:spacing w:after="0"/>
              <w:rPr>
                <w:sz w:val="8"/>
                <w:szCs w:val="8"/>
                <w:color w:val="auto"/>
              </w:rPr>
            </w:pPr>
          </w:p>
        </w:tc>
        <w:tc>
          <w:tcPr>
            <w:tcW w:w="620" w:type="dxa"/>
            <w:vAlign w:val="bottom"/>
            <w:shd w:val="clear" w:color="auto" w:fill="F2F2F2"/>
          </w:tcPr>
          <w:p>
            <w:pPr>
              <w:spacing w:after="0" w:line="99" w:lineRule="exact"/>
              <w:rPr>
                <w:sz w:val="20"/>
                <w:szCs w:val="20"/>
                <w:color w:val="auto"/>
              </w:rPr>
            </w:pPr>
            <w:r>
              <w:rPr>
                <w:rFonts w:ascii="Arial" w:cs="Arial" w:eastAsia="Arial" w:hAnsi="Arial"/>
                <w:sz w:val="11"/>
                <w:szCs w:val="11"/>
                <w:color w:val="auto"/>
              </w:rPr>
              <w:t>Middletown</w:t>
            </w:r>
          </w:p>
        </w:tc>
        <w:tc>
          <w:tcPr>
            <w:tcW w:w="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shd w:val="clear" w:color="auto" w:fill="F2F2F2"/>
              </w:rPr>
              <w:t>Lodi</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700" w:type="dxa"/>
            <w:vAlign w:val="bottom"/>
            <w:gridSpan w:val="2"/>
          </w:tcPr>
          <w:p>
            <w:pPr>
              <w:spacing w:after="0" w:line="160" w:lineRule="exact"/>
              <w:rPr>
                <w:sz w:val="20"/>
                <w:szCs w:val="20"/>
                <w:color w:val="auto"/>
              </w:rPr>
            </w:pPr>
            <w:r>
              <w:rPr>
                <w:rFonts w:ascii="Arial" w:cs="Arial" w:eastAsia="Arial" w:hAnsi="Arial"/>
                <w:sz w:val="14"/>
                <w:szCs w:val="14"/>
                <w:color w:val="auto"/>
                <w:w w:val="95"/>
                <w:shd w:val="clear" w:color="auto" w:fill="F2F2F2"/>
              </w:rPr>
              <w:t>Piscataway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13"/>
        </w:trPr>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ind w:left="500"/>
              <w:spacing w:after="0"/>
              <w:rPr>
                <w:sz w:val="20"/>
                <w:szCs w:val="20"/>
                <w:color w:val="auto"/>
              </w:rPr>
            </w:pPr>
            <w:r>
              <w:rPr>
                <w:rFonts w:ascii="Arial" w:cs="Arial" w:eastAsia="Arial" w:hAnsi="Arial"/>
                <w:sz w:val="9"/>
                <w:szCs w:val="9"/>
                <w:color w:val="auto"/>
                <w:highlight w:val="white"/>
                <w:w w:val="71"/>
              </w:rPr>
              <w:t>T</w:t>
            </w:r>
          </w:p>
        </w:tc>
        <w:tc>
          <w:tcPr>
            <w:tcW w:w="480" w:type="dxa"/>
            <w:vAlign w:val="bottom"/>
            <w:shd w:val="clear" w:color="auto" w:fill="F2F2F2"/>
          </w:tcPr>
          <w:p>
            <w:pPr>
              <w:ind w:left="20"/>
              <w:spacing w:after="0" w:line="113" w:lineRule="exact"/>
              <w:rPr>
                <w:sz w:val="20"/>
                <w:szCs w:val="20"/>
                <w:color w:val="auto"/>
              </w:rPr>
            </w:pPr>
            <w:r>
              <w:rPr>
                <w:rFonts w:ascii="Arial" w:cs="Arial" w:eastAsia="Arial" w:hAnsi="Arial"/>
                <w:sz w:val="12"/>
                <w:szCs w:val="12"/>
                <w:color w:val="auto"/>
                <w:w w:val="98"/>
              </w:rPr>
              <w:t>horofare</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gridSpan w:val="4"/>
          </w:tcPr>
          <w:p>
            <w:pPr>
              <w:spacing w:after="0"/>
              <w:rPr>
                <w:sz w:val="9"/>
                <w:szCs w:val="9"/>
                <w:color w:val="auto"/>
              </w:rPr>
            </w:pPr>
          </w:p>
        </w:tc>
        <w:tc>
          <w:tcPr>
            <w:tcW w:w="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06"/>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gridSpan w:val="10"/>
          </w:tcPr>
          <w:p>
            <w:pPr>
              <w:ind w:left="440"/>
              <w:spacing w:after="0"/>
              <w:rPr>
                <w:sz w:val="20"/>
                <w:szCs w:val="20"/>
                <w:color w:val="auto"/>
              </w:rPr>
            </w:pPr>
            <w:r>
              <w:rPr>
                <w:rFonts w:ascii="Arial" w:cs="Arial" w:eastAsia="Arial" w:hAnsi="Arial"/>
                <w:sz w:val="14"/>
                <w:szCs w:val="14"/>
                <w:color w:val="auto"/>
                <w:shd w:val="clear" w:color="auto" w:fill="F2F2F2"/>
              </w:rPr>
              <w:t>Chesapeake</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2740" w:type="dxa"/>
            <w:vAlign w:val="bottom"/>
            <w:gridSpan w:val="2"/>
            <w:vMerge w:val="restart"/>
          </w:tcPr>
          <w:p>
            <w:pPr>
              <w:jc w:val="right"/>
              <w:ind w:right="2040"/>
              <w:spacing w:after="0"/>
              <w:rPr>
                <w:sz w:val="20"/>
                <w:szCs w:val="20"/>
                <w:color w:val="auto"/>
              </w:rPr>
            </w:pPr>
            <w:r>
              <w:rPr>
                <w:rFonts w:ascii="Arial" w:cs="Arial" w:eastAsia="Arial" w:hAnsi="Arial"/>
                <w:sz w:val="14"/>
                <w:szCs w:val="14"/>
                <w:color w:val="auto"/>
                <w:shd w:val="clear" w:color="auto" w:fill="F2F2F2"/>
              </w:rPr>
              <w:t>Denver</w:t>
            </w:r>
          </w:p>
        </w:tc>
        <w:tc>
          <w:tcPr>
            <w:tcW w:w="2600" w:type="dxa"/>
            <w:vAlign w:val="bottom"/>
          </w:tcPr>
          <w:p>
            <w:pPr>
              <w:spacing w:after="0"/>
              <w:rPr>
                <w:sz w:val="16"/>
                <w:szCs w:val="16"/>
                <w:color w:val="auto"/>
              </w:rPr>
            </w:pPr>
          </w:p>
        </w:tc>
        <w:tc>
          <w:tcPr>
            <w:tcW w:w="1260" w:type="dxa"/>
            <w:vAlign w:val="bottom"/>
          </w:tcPr>
          <w:p>
            <w:pPr>
              <w:ind w:left="860"/>
              <w:spacing w:after="0"/>
              <w:rPr>
                <w:sz w:val="20"/>
                <w:szCs w:val="20"/>
                <w:color w:val="auto"/>
              </w:rPr>
            </w:pPr>
            <w:r>
              <w:rPr>
                <w:rFonts w:ascii="Arial" w:cs="Arial" w:eastAsia="Arial" w:hAnsi="Arial"/>
                <w:sz w:val="12"/>
                <w:szCs w:val="12"/>
                <w:color w:val="auto"/>
                <w:highlight w:val="lightGray"/>
                <w:w w:val="80"/>
              </w:rPr>
              <w:t>Paducah</w:t>
            </w:r>
          </w:p>
        </w:tc>
        <w:tc>
          <w:tcPr>
            <w:tcW w:w="1040" w:type="dxa"/>
            <w:vAlign w:val="bottom"/>
          </w:tcPr>
          <w:p>
            <w:pPr>
              <w:spacing w:after="0"/>
              <w:rPr>
                <w:sz w:val="16"/>
                <w:szCs w:val="16"/>
                <w:color w:val="auto"/>
              </w:rPr>
            </w:pPr>
          </w:p>
        </w:tc>
        <w:tc>
          <w:tcPr>
            <w:tcW w:w="2280" w:type="dxa"/>
            <w:vAlign w:val="bottom"/>
            <w:gridSpan w:val="10"/>
            <w:vMerge w:val="restart"/>
          </w:tcPr>
          <w:p>
            <w:pPr>
              <w:ind w:left="320"/>
              <w:spacing w:after="0"/>
              <w:rPr>
                <w:sz w:val="20"/>
                <w:szCs w:val="20"/>
                <w:color w:val="auto"/>
              </w:rPr>
            </w:pPr>
            <w:r>
              <w:rPr>
                <w:rFonts w:ascii="Arial" w:cs="Arial" w:eastAsia="Arial" w:hAnsi="Arial"/>
                <w:sz w:val="14"/>
                <w:szCs w:val="14"/>
                <w:color w:val="auto"/>
                <w:highlight w:val="lightGray"/>
              </w:rPr>
              <w:t xml:space="preserve">Rocky </w:t>
            </w:r>
            <w:r>
              <w:rPr>
                <w:rFonts w:ascii="Arial" w:cs="Arial" w:eastAsia="Arial" w:hAnsi="Arial"/>
                <w:sz w:val="14"/>
                <w:szCs w:val="14"/>
                <w:color w:val="auto"/>
              </w:rPr>
              <w:t>Mount</w:t>
            </w:r>
          </w:p>
        </w:tc>
        <w:tc>
          <w:tcPr>
            <w:tcW w:w="0" w:type="dxa"/>
            <w:vAlign w:val="bottom"/>
          </w:tcPr>
          <w:p>
            <w:pPr>
              <w:spacing w:after="0"/>
              <w:rPr>
                <w:sz w:val="1"/>
                <w:szCs w:val="1"/>
                <w:color w:val="auto"/>
              </w:rPr>
            </w:pPr>
          </w:p>
        </w:tc>
      </w:tr>
      <w:tr>
        <w:trPr>
          <w:trHeight w:val="65"/>
        </w:trPr>
        <w:tc>
          <w:tcPr>
            <w:tcW w:w="280" w:type="dxa"/>
            <w:vAlign w:val="bottom"/>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26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80" w:type="dxa"/>
            <w:vAlign w:val="bottom"/>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26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740" w:type="dxa"/>
            <w:vAlign w:val="bottom"/>
            <w:gridSpan w:val="2"/>
          </w:tcPr>
          <w:p>
            <w:pPr>
              <w:jc w:val="right"/>
              <w:ind w:right="2040"/>
              <w:spacing w:after="0" w:line="160" w:lineRule="exact"/>
              <w:rPr>
                <w:sz w:val="20"/>
                <w:szCs w:val="20"/>
                <w:color w:val="auto"/>
              </w:rPr>
            </w:pPr>
            <w:r>
              <w:rPr>
                <w:rFonts w:ascii="Arial" w:cs="Arial" w:eastAsia="Arial" w:hAnsi="Arial"/>
                <w:sz w:val="14"/>
                <w:szCs w:val="14"/>
                <w:color w:val="auto"/>
                <w:w w:val="85"/>
                <w:shd w:val="clear" w:color="auto" w:fill="F2F2F2"/>
              </w:rPr>
              <w:t>Albuquerque</w:t>
            </w: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700" w:type="dxa"/>
            <w:vAlign w:val="bottom"/>
            <w:vMerge w:val="restart"/>
            <w:shd w:val="clear" w:color="auto" w:fill="F2F2F2"/>
          </w:tcPr>
          <w:p>
            <w:pPr>
              <w:jc w:val="right"/>
              <w:spacing w:after="0" w:line="95" w:lineRule="exact"/>
              <w:rPr>
                <w:sz w:val="20"/>
                <w:szCs w:val="20"/>
                <w:color w:val="auto"/>
              </w:rPr>
            </w:pPr>
            <w:r>
              <w:rPr>
                <w:rFonts w:ascii="Arial" w:cs="Arial" w:eastAsia="Arial" w:hAnsi="Arial"/>
                <w:sz w:val="11"/>
                <w:szCs w:val="11"/>
                <w:color w:val="auto"/>
              </w:rPr>
              <w:t>Wichita Falls</w:t>
            </w:r>
          </w:p>
        </w:tc>
        <w:tc>
          <w:tcPr>
            <w:tcW w:w="2040" w:type="dxa"/>
            <w:vAlign w:val="bottom"/>
          </w:tcPr>
          <w:p>
            <w:pPr>
              <w:spacing w:after="0"/>
              <w:rPr>
                <w:sz w:val="5"/>
                <w:szCs w:val="5"/>
                <w:color w:val="auto"/>
              </w:rPr>
            </w:pPr>
          </w:p>
        </w:tc>
        <w:tc>
          <w:tcPr>
            <w:tcW w:w="4900" w:type="dxa"/>
            <w:vAlign w:val="bottom"/>
            <w:gridSpan w:val="3"/>
            <w:vMerge w:val="restart"/>
          </w:tcPr>
          <w:p>
            <w:pPr>
              <w:jc w:val="center"/>
              <w:spacing w:after="0"/>
              <w:rPr>
                <w:sz w:val="20"/>
                <w:szCs w:val="20"/>
                <w:color w:val="auto"/>
              </w:rPr>
            </w:pPr>
            <w:r>
              <w:rPr>
                <w:rFonts w:ascii="Arial" w:cs="Arial" w:eastAsia="Arial" w:hAnsi="Arial"/>
                <w:sz w:val="14"/>
                <w:szCs w:val="14"/>
                <w:color w:val="auto"/>
                <w:highlight w:val="lightGray"/>
                <w:w w:val="79"/>
              </w:rPr>
              <w:t>Texarrkana</w:t>
            </w: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00" w:type="dxa"/>
            <w:vAlign w:val="bottom"/>
            <w:tcBorders>
              <w:bottom w:val="single" w:sz="8" w:color="F2F2F2"/>
            </w:tcBorders>
            <w:vMerge w:val="continue"/>
            <w:shd w:val="clear" w:color="auto" w:fill="F2F2F2"/>
          </w:tcPr>
          <w:p>
            <w:pPr>
              <w:spacing w:after="0"/>
              <w:rPr>
                <w:sz w:val="4"/>
                <w:szCs w:val="4"/>
                <w:color w:val="auto"/>
              </w:rPr>
            </w:pPr>
          </w:p>
        </w:tc>
        <w:tc>
          <w:tcPr>
            <w:tcW w:w="2040" w:type="dxa"/>
            <w:vAlign w:val="bottom"/>
          </w:tcPr>
          <w:p>
            <w:pPr>
              <w:spacing w:after="0"/>
              <w:rPr>
                <w:sz w:val="4"/>
                <w:szCs w:val="4"/>
                <w:color w:val="auto"/>
              </w:rPr>
            </w:pPr>
          </w:p>
        </w:tc>
        <w:tc>
          <w:tcPr>
            <w:tcW w:w="49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2740" w:type="dxa"/>
            <w:vAlign w:val="bottom"/>
            <w:gridSpan w:val="2"/>
            <w:vMerge w:val="restart"/>
          </w:tcPr>
          <w:p>
            <w:pPr>
              <w:jc w:val="right"/>
              <w:ind w:right="2040"/>
              <w:spacing w:after="0"/>
              <w:rPr>
                <w:sz w:val="20"/>
                <w:szCs w:val="20"/>
                <w:color w:val="auto"/>
              </w:rPr>
            </w:pPr>
            <w:r>
              <w:rPr>
                <w:rFonts w:ascii="Arial" w:cs="Arial" w:eastAsia="Arial" w:hAnsi="Arial"/>
                <w:sz w:val="14"/>
                <w:szCs w:val="14"/>
                <w:color w:val="auto"/>
                <w:shd w:val="clear" w:color="auto" w:fill="F2F2F2"/>
              </w:rPr>
              <w:t>Lubbock</w:t>
            </w:r>
          </w:p>
        </w:tc>
        <w:tc>
          <w:tcPr>
            <w:tcW w:w="490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80" w:type="dxa"/>
            <w:vAlign w:val="bottom"/>
          </w:tcPr>
          <w:p>
            <w:pPr>
              <w:spacing w:after="0"/>
              <w:rPr>
                <w:sz w:val="9"/>
                <w:szCs w:val="9"/>
                <w:color w:val="auto"/>
              </w:rPr>
            </w:pPr>
          </w:p>
        </w:tc>
        <w:tc>
          <w:tcPr>
            <w:tcW w:w="2740" w:type="dxa"/>
            <w:vAlign w:val="bottom"/>
            <w:gridSpan w:val="2"/>
            <w:vMerge w:val="continue"/>
          </w:tcPr>
          <w:p>
            <w:pPr>
              <w:spacing w:after="0"/>
              <w:rPr>
                <w:sz w:val="9"/>
                <w:szCs w:val="9"/>
                <w:color w:val="auto"/>
              </w:rPr>
            </w:pPr>
          </w:p>
        </w:tc>
        <w:tc>
          <w:tcPr>
            <w:tcW w:w="2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20" w:type="dxa"/>
            <w:vAlign w:val="bottom"/>
            <w:gridSpan w:val="3"/>
          </w:tcPr>
          <w:p>
            <w:pPr>
              <w:jc w:val="right"/>
              <w:ind w:right="2040"/>
              <w:spacing w:after="0"/>
              <w:rPr>
                <w:sz w:val="20"/>
                <w:szCs w:val="20"/>
                <w:color w:val="auto"/>
              </w:rPr>
            </w:pPr>
            <w:r>
              <w:rPr>
                <w:rFonts w:ascii="Arial" w:cs="Arial" w:eastAsia="Arial" w:hAnsi="Arial"/>
                <w:sz w:val="14"/>
                <w:szCs w:val="14"/>
                <w:color w:val="auto"/>
                <w:w w:val="88"/>
                <w:shd w:val="clear" w:color="auto" w:fill="F2F2F2"/>
              </w:rPr>
              <w:t>Dallas/Fort Worth</w:t>
            </w:r>
          </w:p>
        </w:tc>
        <w:tc>
          <w:tcPr>
            <w:tcW w:w="2600" w:type="dxa"/>
            <w:vAlign w:val="bottom"/>
          </w:tcPr>
          <w:p>
            <w:pPr>
              <w:spacing w:after="0"/>
              <w:rPr>
                <w:sz w:val="15"/>
                <w:szCs w:val="15"/>
                <w:color w:val="auto"/>
              </w:rPr>
            </w:pPr>
          </w:p>
        </w:tc>
        <w:tc>
          <w:tcPr>
            <w:tcW w:w="2300" w:type="dxa"/>
            <w:vAlign w:val="bottom"/>
            <w:gridSpan w:val="2"/>
            <w:vMerge w:val="restart"/>
          </w:tcPr>
          <w:p>
            <w:pPr>
              <w:ind w:left="740"/>
              <w:spacing w:after="0"/>
              <w:rPr>
                <w:sz w:val="20"/>
                <w:szCs w:val="20"/>
                <w:color w:val="auto"/>
              </w:rPr>
            </w:pPr>
            <w:r>
              <w:rPr>
                <w:rFonts w:ascii="Arial" w:cs="Arial" w:eastAsia="Arial" w:hAnsi="Arial"/>
                <w:sz w:val="14"/>
                <w:szCs w:val="14"/>
                <w:color w:val="auto"/>
                <w:highlight w:val="lightGray"/>
              </w:rPr>
              <w:t>Mobile</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7"/>
            <w:vMerge w:val="restart"/>
          </w:tcPr>
          <w:p>
            <w:pPr>
              <w:spacing w:after="0"/>
              <w:rPr>
                <w:sz w:val="20"/>
                <w:szCs w:val="20"/>
                <w:color w:val="auto"/>
              </w:rPr>
            </w:pPr>
            <w:r>
              <w:rPr>
                <w:rFonts w:ascii="Arial" w:cs="Arial" w:eastAsia="Arial" w:hAnsi="Arial"/>
                <w:sz w:val="14"/>
                <w:szCs w:val="14"/>
                <w:color w:val="auto"/>
                <w:shd w:val="clear" w:color="auto" w:fill="F2F2F2"/>
              </w:rPr>
              <w:t>Panama City</w:t>
            </w:r>
          </w:p>
        </w:tc>
        <w:tc>
          <w:tcPr>
            <w:tcW w:w="0" w:type="dxa"/>
            <w:vAlign w:val="bottom"/>
          </w:tcPr>
          <w:p>
            <w:pPr>
              <w:spacing w:after="0"/>
              <w:rPr>
                <w:sz w:val="1"/>
                <w:szCs w:val="1"/>
                <w:color w:val="auto"/>
              </w:rPr>
            </w:pPr>
          </w:p>
        </w:tc>
      </w:tr>
      <w:tr>
        <w:trPr>
          <w:trHeight w:val="50"/>
        </w:trPr>
        <w:tc>
          <w:tcPr>
            <w:tcW w:w="280" w:type="dxa"/>
            <w:vAlign w:val="bottom"/>
          </w:tcPr>
          <w:p>
            <w:pPr>
              <w:spacing w:after="0"/>
              <w:rPr>
                <w:sz w:val="4"/>
                <w:szCs w:val="4"/>
                <w:color w:val="auto"/>
              </w:rPr>
            </w:pPr>
          </w:p>
        </w:tc>
        <w:tc>
          <w:tcPr>
            <w:tcW w:w="2740" w:type="dxa"/>
            <w:vAlign w:val="bottom"/>
            <w:gridSpan w:val="2"/>
            <w:vMerge w:val="restart"/>
          </w:tcPr>
          <w:p>
            <w:pPr>
              <w:jc w:val="right"/>
              <w:ind w:right="2040"/>
              <w:spacing w:after="0" w:line="158" w:lineRule="exact"/>
              <w:rPr>
                <w:sz w:val="20"/>
                <w:szCs w:val="20"/>
                <w:color w:val="auto"/>
              </w:rPr>
            </w:pPr>
            <w:r>
              <w:rPr>
                <w:rFonts w:ascii="Arial" w:cs="Arial" w:eastAsia="Arial" w:hAnsi="Arial"/>
                <w:sz w:val="14"/>
                <w:szCs w:val="14"/>
                <w:color w:val="auto"/>
                <w:shd w:val="clear" w:color="auto" w:fill="F2F2F2"/>
              </w:rPr>
              <w:t>El Paso</w:t>
            </w:r>
          </w:p>
        </w:tc>
        <w:tc>
          <w:tcPr>
            <w:tcW w:w="26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2600" w:type="dxa"/>
            <w:vAlign w:val="bottom"/>
            <w:vMerge w:val="restart"/>
          </w:tcPr>
          <w:p>
            <w:pPr>
              <w:jc w:val="center"/>
              <w:ind w:left="1873"/>
              <w:spacing w:after="0" w:line="135" w:lineRule="exact"/>
              <w:rPr>
                <w:sz w:val="20"/>
                <w:szCs w:val="20"/>
                <w:color w:val="auto"/>
              </w:rPr>
            </w:pPr>
            <w:r>
              <w:rPr>
                <w:rFonts w:ascii="Arial" w:cs="Arial" w:eastAsia="Arial" w:hAnsi="Arial"/>
                <w:sz w:val="14"/>
                <w:szCs w:val="14"/>
                <w:color w:val="auto"/>
                <w:highlight w:val="lightGray"/>
                <w:w w:val="87"/>
              </w:rPr>
              <w:t>Mount</w:t>
            </w:r>
          </w:p>
        </w:tc>
        <w:tc>
          <w:tcPr>
            <w:tcW w:w="2300" w:type="dxa"/>
            <w:vAlign w:val="bottom"/>
            <w:gridSpan w:val="2"/>
            <w:vMerge w:val="restart"/>
          </w:tcPr>
          <w:p>
            <w:pPr>
              <w:ind w:left="80"/>
              <w:spacing w:after="0" w:line="135" w:lineRule="exact"/>
              <w:rPr>
                <w:sz w:val="20"/>
                <w:szCs w:val="20"/>
                <w:color w:val="auto"/>
              </w:rPr>
            </w:pPr>
            <w:r>
              <w:rPr>
                <w:rFonts w:ascii="Arial" w:cs="Arial" w:eastAsia="Arial" w:hAnsi="Arial"/>
                <w:sz w:val="14"/>
                <w:szCs w:val="14"/>
                <w:color w:val="auto"/>
                <w:highlight w:val="lightGray"/>
              </w:rPr>
              <w:t>Baton Rouge</w:t>
            </w: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80" w:type="dxa"/>
            <w:vAlign w:val="bottom"/>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2600" w:type="dxa"/>
            <w:vAlign w:val="bottom"/>
            <w:vMerge w:val="continue"/>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bottom w:val="single" w:sz="8" w:color="F2F2F2"/>
            </w:tcBorders>
          </w:tcPr>
          <w:p>
            <w:pPr>
              <w:spacing w:after="0"/>
              <w:rPr>
                <w:sz w:val="5"/>
                <w:szCs w:val="5"/>
                <w:color w:val="auto"/>
              </w:rPr>
            </w:pPr>
          </w:p>
        </w:tc>
        <w:tc>
          <w:tcPr>
            <w:tcW w:w="20" w:type="dxa"/>
            <w:vAlign w:val="bottom"/>
            <w:tcBorders>
              <w:bottom w:val="single" w:sz="8" w:color="F2F2F2"/>
            </w:tcBorders>
          </w:tcPr>
          <w:p>
            <w:pPr>
              <w:spacing w:after="0"/>
              <w:rPr>
                <w:sz w:val="5"/>
                <w:szCs w:val="5"/>
                <w:color w:val="auto"/>
              </w:rPr>
            </w:pPr>
          </w:p>
        </w:tc>
        <w:tc>
          <w:tcPr>
            <w:tcW w:w="60" w:type="dxa"/>
            <w:vAlign w:val="bottom"/>
            <w:tcBorders>
              <w:bottom w:val="single" w:sz="8" w:color="F2F2F2"/>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2740" w:type="dxa"/>
            <w:vAlign w:val="bottom"/>
            <w:gridSpan w:val="2"/>
            <w:vMerge w:val="restart"/>
          </w:tcPr>
          <w:p>
            <w:pPr>
              <w:jc w:val="right"/>
              <w:ind w:right="2040"/>
              <w:spacing w:after="0" w:line="138" w:lineRule="exact"/>
              <w:rPr>
                <w:sz w:val="20"/>
                <w:szCs w:val="20"/>
                <w:color w:val="auto"/>
              </w:rPr>
            </w:pPr>
            <w:r>
              <w:rPr>
                <w:rFonts w:ascii="Arial" w:cs="Arial" w:eastAsia="Arial" w:hAnsi="Arial"/>
                <w:sz w:val="14"/>
                <w:szCs w:val="14"/>
                <w:color w:val="auto"/>
                <w:shd w:val="clear" w:color="auto" w:fill="F2F2F2"/>
              </w:rPr>
              <w:t>Odessa</w:t>
            </w:r>
          </w:p>
        </w:tc>
        <w:tc>
          <w:tcPr>
            <w:tcW w:w="2600" w:type="dxa"/>
            <w:vAlign w:val="bottom"/>
            <w:vMerge w:val="restart"/>
          </w:tcPr>
          <w:p>
            <w:pPr>
              <w:jc w:val="center"/>
              <w:ind w:left="1873"/>
              <w:spacing w:after="0" w:line="138" w:lineRule="exact"/>
              <w:rPr>
                <w:sz w:val="20"/>
                <w:szCs w:val="20"/>
                <w:color w:val="auto"/>
              </w:rPr>
            </w:pPr>
            <w:r>
              <w:rPr>
                <w:rFonts w:ascii="Arial" w:cs="Arial" w:eastAsia="Arial" w:hAnsi="Arial"/>
                <w:sz w:val="14"/>
                <w:szCs w:val="14"/>
                <w:color w:val="auto"/>
                <w:highlight w:val="lightGray"/>
                <w:w w:val="84"/>
              </w:rPr>
              <w:t>Pleasant</w:t>
            </w:r>
          </w:p>
        </w:tc>
        <w:tc>
          <w:tcPr>
            <w:tcW w:w="1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Borders>
              <w:right w:val="single" w:sz="8" w:color="F2F2F2"/>
            </w:tcBorders>
          </w:tcPr>
          <w:p>
            <w:pPr>
              <w:spacing w:after="0"/>
              <w:rPr>
                <w:sz w:val="4"/>
                <w:szCs w:val="4"/>
                <w:color w:val="auto"/>
              </w:rPr>
            </w:pPr>
          </w:p>
        </w:tc>
        <w:tc>
          <w:tcPr>
            <w:tcW w:w="660" w:type="dxa"/>
            <w:vAlign w:val="bottom"/>
            <w:gridSpan w:val="3"/>
            <w:shd w:val="clear" w:color="auto" w:fill="F2F2F2"/>
          </w:tcPr>
          <w:p>
            <w:pPr>
              <w:spacing w:after="0" w:line="53" w:lineRule="exact"/>
              <w:rPr>
                <w:sz w:val="20"/>
                <w:szCs w:val="20"/>
                <w:color w:val="auto"/>
              </w:rPr>
            </w:pPr>
            <w:r>
              <w:rPr>
                <w:rFonts w:ascii="Arial" w:cs="Arial" w:eastAsia="Arial" w:hAnsi="Arial"/>
                <w:sz w:val="6"/>
                <w:szCs w:val="6"/>
                <w:color w:val="auto"/>
              </w:rPr>
              <w:t>Jacksonville</w:t>
            </w: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8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7"/>
            <w:vMerge w:val="restart"/>
          </w:tcPr>
          <w:p>
            <w:pPr>
              <w:spacing w:after="0"/>
              <w:rPr>
                <w:sz w:val="20"/>
                <w:szCs w:val="20"/>
                <w:color w:val="auto"/>
              </w:rPr>
            </w:pPr>
            <w:r>
              <w:rPr>
                <w:rFonts w:ascii="Arial" w:cs="Arial" w:eastAsia="Arial" w:hAnsi="Arial"/>
                <w:sz w:val="14"/>
                <w:szCs w:val="14"/>
                <w:color w:val="auto"/>
                <w:shd w:val="clear" w:color="auto" w:fill="F2F2F2"/>
              </w:rPr>
              <w:t>Ocala</w:t>
            </w:r>
          </w:p>
        </w:tc>
        <w:tc>
          <w:tcPr>
            <w:tcW w:w="0" w:type="dxa"/>
            <w:vAlign w:val="bottom"/>
          </w:tcPr>
          <w:p>
            <w:pPr>
              <w:spacing w:after="0"/>
              <w:rPr>
                <w:sz w:val="1"/>
                <w:szCs w:val="1"/>
                <w:color w:val="auto"/>
              </w:rPr>
            </w:pPr>
          </w:p>
        </w:tc>
      </w:tr>
      <w:tr>
        <w:trPr>
          <w:trHeight w:val="100"/>
        </w:trPr>
        <w:tc>
          <w:tcPr>
            <w:tcW w:w="280" w:type="dxa"/>
            <w:vAlign w:val="bottom"/>
          </w:tcPr>
          <w:p>
            <w:pPr>
              <w:spacing w:after="0"/>
              <w:rPr>
                <w:sz w:val="8"/>
                <w:szCs w:val="8"/>
                <w:color w:val="auto"/>
              </w:rPr>
            </w:pPr>
          </w:p>
        </w:tc>
        <w:tc>
          <w:tcPr>
            <w:tcW w:w="2740" w:type="dxa"/>
            <w:vAlign w:val="bottom"/>
            <w:gridSpan w:val="2"/>
            <w:vMerge w:val="restart"/>
          </w:tcPr>
          <w:p>
            <w:pPr>
              <w:jc w:val="right"/>
              <w:ind w:right="2040"/>
              <w:spacing w:after="0" w:line="153" w:lineRule="exact"/>
              <w:rPr>
                <w:sz w:val="20"/>
                <w:szCs w:val="20"/>
                <w:color w:val="auto"/>
              </w:rPr>
            </w:pPr>
            <w:r>
              <w:rPr>
                <w:rFonts w:ascii="Arial" w:cs="Arial" w:eastAsia="Arial" w:hAnsi="Arial"/>
                <w:sz w:val="14"/>
                <w:szCs w:val="14"/>
                <w:color w:val="auto"/>
                <w:shd w:val="clear" w:color="auto" w:fill="F2F2F2"/>
              </w:rPr>
              <w:t>Temple</w:t>
            </w:r>
          </w:p>
        </w:tc>
        <w:tc>
          <w:tcPr>
            <w:tcW w:w="2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2740" w:type="dxa"/>
            <w:vAlign w:val="bottom"/>
            <w:gridSpan w:val="2"/>
            <w:vMerge w:val="continue"/>
          </w:tcPr>
          <w:p>
            <w:pPr>
              <w:spacing w:after="0"/>
              <w:rPr>
                <w:sz w:val="4"/>
                <w:szCs w:val="4"/>
                <w:color w:val="auto"/>
              </w:rPr>
            </w:pPr>
          </w:p>
        </w:tc>
        <w:tc>
          <w:tcPr>
            <w:tcW w:w="2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7"/>
            <w:vMerge w:val="restart"/>
          </w:tcPr>
          <w:p>
            <w:pPr>
              <w:spacing w:after="0" w:line="160" w:lineRule="exact"/>
              <w:rPr>
                <w:sz w:val="20"/>
                <w:szCs w:val="20"/>
                <w:color w:val="auto"/>
              </w:rPr>
            </w:pPr>
            <w:r>
              <w:rPr>
                <w:rFonts w:ascii="Arial" w:cs="Arial" w:eastAsia="Arial" w:hAnsi="Arial"/>
                <w:sz w:val="14"/>
                <w:szCs w:val="14"/>
                <w:color w:val="auto"/>
                <w:shd w:val="clear" w:color="auto" w:fill="F2F2F2"/>
              </w:rPr>
              <w:t>Orlando</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2740" w:type="dxa"/>
            <w:vAlign w:val="bottom"/>
            <w:gridSpan w:val="2"/>
            <w:vMerge w:val="restart"/>
          </w:tcPr>
          <w:p>
            <w:pPr>
              <w:jc w:val="right"/>
              <w:ind w:right="2040"/>
              <w:spacing w:after="0"/>
              <w:rPr>
                <w:sz w:val="20"/>
                <w:szCs w:val="20"/>
                <w:color w:val="auto"/>
              </w:rPr>
            </w:pPr>
            <w:r>
              <w:rPr>
                <w:rFonts w:ascii="Arial" w:cs="Arial" w:eastAsia="Arial" w:hAnsi="Arial"/>
                <w:sz w:val="14"/>
                <w:szCs w:val="14"/>
                <w:color w:val="auto"/>
                <w:shd w:val="clear" w:color="auto" w:fill="F2F2F2"/>
              </w:rPr>
              <w:t>Austin</w:t>
            </w:r>
          </w:p>
        </w:tc>
        <w:tc>
          <w:tcPr>
            <w:tcW w:w="2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color w:val="auto"/>
                <w:shd w:val="clear" w:color="auto" w:fill="F2F2F2"/>
              </w:rPr>
              <w:t>Tampa</w:t>
            </w: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80" w:type="dxa"/>
            <w:vAlign w:val="bottom"/>
          </w:tcPr>
          <w:p>
            <w:pPr>
              <w:spacing w:after="0"/>
              <w:rPr>
                <w:sz w:val="3"/>
                <w:szCs w:val="3"/>
                <w:color w:val="auto"/>
              </w:rPr>
            </w:pPr>
          </w:p>
        </w:tc>
        <w:tc>
          <w:tcPr>
            <w:tcW w:w="2740" w:type="dxa"/>
            <w:vAlign w:val="bottom"/>
            <w:gridSpan w:val="2"/>
            <w:vMerge w:val="continue"/>
          </w:tcPr>
          <w:p>
            <w:pPr>
              <w:spacing w:after="0"/>
              <w:rPr>
                <w:sz w:val="3"/>
                <w:szCs w:val="3"/>
                <w:color w:val="auto"/>
              </w:rPr>
            </w:pPr>
          </w:p>
        </w:tc>
        <w:tc>
          <w:tcPr>
            <w:tcW w:w="2600" w:type="dxa"/>
            <w:vAlign w:val="bottom"/>
          </w:tcPr>
          <w:p>
            <w:pPr>
              <w:spacing w:after="0"/>
              <w:rPr>
                <w:sz w:val="3"/>
                <w:szCs w:val="3"/>
                <w:color w:val="auto"/>
              </w:rPr>
            </w:pPr>
          </w:p>
        </w:tc>
        <w:tc>
          <w:tcPr>
            <w:tcW w:w="1260" w:type="dxa"/>
            <w:vAlign w:val="bottom"/>
            <w:vMerge w:val="restart"/>
          </w:tcPr>
          <w:p>
            <w:pPr>
              <w:spacing w:after="0"/>
              <w:rPr>
                <w:sz w:val="3"/>
                <w:szCs w:val="3"/>
                <w:color w:val="auto"/>
              </w:rPr>
            </w:pPr>
          </w:p>
        </w:tc>
        <w:tc>
          <w:tcPr>
            <w:tcW w:w="10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80" w:type="dxa"/>
            <w:vAlign w:val="bottom"/>
          </w:tcPr>
          <w:p>
            <w:pPr>
              <w:spacing w:after="0"/>
              <w:rPr>
                <w:sz w:val="3"/>
                <w:szCs w:val="3"/>
                <w:color w:val="auto"/>
              </w:rPr>
            </w:pPr>
          </w:p>
        </w:tc>
        <w:tc>
          <w:tcPr>
            <w:tcW w:w="2740" w:type="dxa"/>
            <w:vAlign w:val="bottom"/>
            <w:gridSpan w:val="2"/>
            <w:vMerge w:val="continue"/>
          </w:tcPr>
          <w:p>
            <w:pPr>
              <w:spacing w:after="0"/>
              <w:rPr>
                <w:sz w:val="3"/>
                <w:szCs w:val="3"/>
                <w:color w:val="auto"/>
              </w:rPr>
            </w:pPr>
          </w:p>
        </w:tc>
        <w:tc>
          <w:tcPr>
            <w:tcW w:w="26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gridSpan w:val="2"/>
            <w:vMerge w:val="restart"/>
            <w:shd w:val="clear" w:color="auto" w:fill="F2F2F2"/>
          </w:tcPr>
          <w:p>
            <w:pPr>
              <w:spacing w:after="0" w:line="99" w:lineRule="exact"/>
              <w:rPr>
                <w:sz w:val="20"/>
                <w:szCs w:val="20"/>
                <w:color w:val="auto"/>
              </w:rPr>
            </w:pPr>
            <w:r>
              <w:rPr>
                <w:rFonts w:ascii="Arial" w:cs="Arial" w:eastAsia="Arial" w:hAnsi="Arial"/>
                <w:sz w:val="11"/>
                <w:szCs w:val="11"/>
                <w:color w:val="auto"/>
              </w:rPr>
              <w:t>Fort Pierce</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80" w:type="dxa"/>
            <w:vAlign w:val="bottom"/>
          </w:tcPr>
          <w:p>
            <w:pPr>
              <w:spacing w:after="0"/>
              <w:rPr>
                <w:sz w:val="4"/>
                <w:szCs w:val="4"/>
                <w:color w:val="auto"/>
              </w:rPr>
            </w:pPr>
          </w:p>
        </w:tc>
        <w:tc>
          <w:tcPr>
            <w:tcW w:w="2740" w:type="dxa"/>
            <w:vAlign w:val="bottom"/>
            <w:gridSpan w:val="2"/>
            <w:vMerge w:val="restart"/>
          </w:tcPr>
          <w:p>
            <w:pPr>
              <w:jc w:val="right"/>
              <w:ind w:right="2040"/>
              <w:spacing w:after="0"/>
              <w:rPr>
                <w:sz w:val="20"/>
                <w:szCs w:val="20"/>
                <w:color w:val="auto"/>
              </w:rPr>
            </w:pPr>
            <w:r>
              <w:rPr>
                <w:rFonts w:ascii="Arial" w:cs="Arial" w:eastAsia="Arial" w:hAnsi="Arial"/>
                <w:sz w:val="14"/>
                <w:szCs w:val="14"/>
                <w:color w:val="auto"/>
                <w:shd w:val="clear" w:color="auto" w:fill="F2F2F2"/>
              </w:rPr>
              <w:t>Houston</w:t>
            </w:r>
          </w:p>
        </w:tc>
        <w:tc>
          <w:tcPr>
            <w:tcW w:w="4900" w:type="dxa"/>
            <w:vAlign w:val="bottom"/>
            <w:gridSpan w:val="3"/>
            <w:vMerge w:val="restart"/>
          </w:tcPr>
          <w:p>
            <w:pPr>
              <w:jc w:val="center"/>
              <w:spacing w:after="0"/>
              <w:rPr>
                <w:sz w:val="20"/>
                <w:szCs w:val="20"/>
                <w:color w:val="auto"/>
              </w:rPr>
            </w:pPr>
            <w:r>
              <w:rPr>
                <w:rFonts w:ascii="Arial" w:cs="Arial" w:eastAsia="Arial" w:hAnsi="Arial"/>
                <w:sz w:val="14"/>
                <w:szCs w:val="14"/>
                <w:color w:val="auto"/>
                <w:highlight w:val="white"/>
                <w:w w:val="83"/>
              </w:rPr>
              <w:t xml:space="preserve">Corpus </w:t>
            </w:r>
            <w:r>
              <w:rPr>
                <w:rFonts w:ascii="Arial" w:cs="Arial" w:eastAsia="Arial" w:hAnsi="Arial"/>
                <w:sz w:val="14"/>
                <w:szCs w:val="14"/>
                <w:color w:val="auto"/>
                <w:highlight w:val="white"/>
                <w:w w:val="83"/>
                <w:shd w:val="clear" w:color="auto" w:fill="F2F2F2"/>
              </w:rPr>
              <w:t>Christi</w:t>
            </w: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gridSpan w:val="2"/>
            <w:vMerge w:val="continue"/>
            <w:shd w:val="clear" w:color="auto" w:fill="F2F2F2"/>
          </w:tcPr>
          <w:p>
            <w:pPr>
              <w:spacing w:after="0"/>
              <w:rPr>
                <w:sz w:val="4"/>
                <w:szCs w:val="4"/>
                <w:color w:val="auto"/>
              </w:rPr>
            </w:pPr>
          </w:p>
        </w:tc>
        <w:tc>
          <w:tcPr>
            <w:tcW w:w="2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80" w:type="dxa"/>
            <w:vAlign w:val="bottom"/>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49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49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F2F2F2"/>
            </w:tcBorders>
          </w:tcPr>
          <w:p>
            <w:pPr>
              <w:spacing w:after="0"/>
              <w:rPr>
                <w:sz w:val="8"/>
                <w:szCs w:val="8"/>
                <w:color w:val="auto"/>
              </w:rPr>
            </w:pPr>
          </w:p>
        </w:tc>
        <w:tc>
          <w:tcPr>
            <w:tcW w:w="940" w:type="dxa"/>
            <w:vAlign w:val="bottom"/>
            <w:gridSpan w:val="6"/>
            <w:shd w:val="clear" w:color="auto" w:fill="F2F2F2"/>
          </w:tcPr>
          <w:p>
            <w:pPr>
              <w:spacing w:after="0" w:line="99" w:lineRule="exact"/>
              <w:rPr>
                <w:sz w:val="20"/>
                <w:szCs w:val="20"/>
                <w:color w:val="auto"/>
              </w:rPr>
            </w:pPr>
            <w:r>
              <w:rPr>
                <w:rFonts w:ascii="Arial" w:cs="Arial" w:eastAsia="Arial" w:hAnsi="Arial"/>
                <w:sz w:val="11"/>
                <w:szCs w:val="11"/>
                <w:color w:val="auto"/>
              </w:rPr>
              <w:t>West Palm Beach</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80" w:type="dxa"/>
            <w:vAlign w:val="bottom"/>
          </w:tcPr>
          <w:p>
            <w:pPr>
              <w:spacing w:after="0"/>
              <w:rPr>
                <w:sz w:val="5"/>
                <w:szCs w:val="5"/>
                <w:color w:val="auto"/>
              </w:rPr>
            </w:pPr>
          </w:p>
        </w:tc>
        <w:tc>
          <w:tcPr>
            <w:tcW w:w="2740" w:type="dxa"/>
            <w:vAlign w:val="bottom"/>
            <w:gridSpan w:val="2"/>
            <w:vMerge w:val="restart"/>
          </w:tcPr>
          <w:p>
            <w:pPr>
              <w:jc w:val="right"/>
              <w:ind w:right="2040"/>
              <w:spacing w:after="0" w:line="153" w:lineRule="exact"/>
              <w:rPr>
                <w:sz w:val="20"/>
                <w:szCs w:val="20"/>
                <w:color w:val="auto"/>
              </w:rPr>
            </w:pPr>
            <w:r>
              <w:rPr>
                <w:rFonts w:ascii="Arial" w:cs="Arial" w:eastAsia="Arial" w:hAnsi="Arial"/>
                <w:sz w:val="14"/>
                <w:szCs w:val="14"/>
                <w:color w:val="auto"/>
                <w:w w:val="89"/>
                <w:shd w:val="clear" w:color="auto" w:fill="F2F2F2"/>
              </w:rPr>
              <w:t>San Antonio</w:t>
            </w:r>
          </w:p>
        </w:tc>
        <w:tc>
          <w:tcPr>
            <w:tcW w:w="2600" w:type="dxa"/>
            <w:vAlign w:val="bottom"/>
          </w:tcPr>
          <w:p>
            <w:pPr>
              <w:spacing w:after="0"/>
              <w:rPr>
                <w:sz w:val="5"/>
                <w:szCs w:val="5"/>
                <w:color w:val="auto"/>
              </w:rPr>
            </w:pPr>
          </w:p>
        </w:tc>
        <w:tc>
          <w:tcPr>
            <w:tcW w:w="1260" w:type="dxa"/>
            <w:vAlign w:val="bottom"/>
            <w:vMerge w:val="restart"/>
          </w:tcPr>
          <w:p>
            <w:pPr>
              <w:spacing w:after="0"/>
              <w:rPr>
                <w:sz w:val="5"/>
                <w:szCs w:val="5"/>
                <w:color w:val="auto"/>
              </w:rPr>
            </w:pPr>
          </w:p>
        </w:tc>
        <w:tc>
          <w:tcPr>
            <w:tcW w:w="1040" w:type="dxa"/>
            <w:vAlign w:val="bottom"/>
            <w:vMerge w:val="restart"/>
          </w:tcPr>
          <w:p>
            <w:pPr>
              <w:ind w:left="140"/>
              <w:spacing w:after="0" w:line="153" w:lineRule="exact"/>
              <w:rPr>
                <w:sz w:val="20"/>
                <w:szCs w:val="20"/>
                <w:color w:val="auto"/>
              </w:rPr>
            </w:pPr>
            <w:r>
              <w:rPr>
                <w:rFonts w:ascii="Arial" w:cs="Arial" w:eastAsia="Arial" w:hAnsi="Arial"/>
                <w:sz w:val="14"/>
                <w:szCs w:val="14"/>
                <w:color w:val="auto"/>
                <w:shd w:val="clear" w:color="auto" w:fill="F2F2F2"/>
              </w:rPr>
              <w:t>Fort Myers</w:t>
            </w: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gridSpan w:val="3"/>
          </w:tcPr>
          <w:p>
            <w:pPr>
              <w:spacing w:after="0"/>
              <w:rPr>
                <w:sz w:val="5"/>
                <w:szCs w:val="5"/>
                <w:color w:val="auto"/>
              </w:rPr>
            </w:pPr>
          </w:p>
        </w:tc>
        <w:tc>
          <w:tcPr>
            <w:tcW w:w="40" w:type="dxa"/>
            <w:vAlign w:val="bottom"/>
            <w:vMerge w:val="restart"/>
          </w:tcPr>
          <w:p>
            <w:pPr>
              <w:spacing w:after="0"/>
              <w:rPr>
                <w:sz w:val="5"/>
                <w:szCs w:val="5"/>
                <w:color w:val="auto"/>
              </w:rPr>
            </w:pPr>
          </w:p>
        </w:tc>
        <w:tc>
          <w:tcPr>
            <w:tcW w:w="6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26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4"/>
            <w:shd w:val="clear" w:color="auto" w:fill="F2F2F2"/>
          </w:tcPr>
          <w:p>
            <w:pPr>
              <w:spacing w:after="0" w:line="99" w:lineRule="exact"/>
              <w:rPr>
                <w:sz w:val="20"/>
                <w:szCs w:val="20"/>
                <w:color w:val="auto"/>
              </w:rPr>
            </w:pPr>
            <w:r>
              <w:rPr>
                <w:rFonts w:ascii="Arial" w:cs="Arial" w:eastAsia="Arial" w:hAnsi="Arial"/>
                <w:sz w:val="11"/>
                <w:szCs w:val="11"/>
                <w:color w:val="auto"/>
              </w:rPr>
              <w:t>Fort Lauderdale</w:t>
            </w:r>
          </w:p>
        </w:tc>
        <w:tc>
          <w:tcPr>
            <w:tcW w:w="40" w:type="dxa"/>
            <w:vAlign w:val="bottom"/>
            <w:vMerge w:val="continue"/>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740" w:type="dxa"/>
            <w:vAlign w:val="bottom"/>
            <w:gridSpan w:val="2"/>
          </w:tcPr>
          <w:p>
            <w:pPr>
              <w:jc w:val="right"/>
              <w:ind w:right="2040"/>
              <w:spacing w:after="0" w:line="153" w:lineRule="exact"/>
              <w:rPr>
                <w:sz w:val="20"/>
                <w:szCs w:val="20"/>
                <w:color w:val="auto"/>
              </w:rPr>
            </w:pPr>
            <w:r>
              <w:rPr>
                <w:rFonts w:ascii="Arial" w:cs="Arial" w:eastAsia="Arial" w:hAnsi="Arial"/>
                <w:sz w:val="14"/>
                <w:szCs w:val="14"/>
                <w:color w:val="auto"/>
                <w:shd w:val="clear" w:color="auto" w:fill="F2F2F2"/>
              </w:rPr>
              <w:t>Laredo</w:t>
            </w:r>
          </w:p>
        </w:tc>
        <w:tc>
          <w:tcPr>
            <w:tcW w:w="2600" w:type="dxa"/>
            <w:vAlign w:val="bottom"/>
          </w:tcPr>
          <w:p>
            <w:pPr>
              <w:spacing w:after="0"/>
              <w:rPr>
                <w:sz w:val="14"/>
                <w:szCs w:val="14"/>
                <w:color w:val="auto"/>
              </w:rPr>
            </w:pPr>
          </w:p>
        </w:tc>
        <w:tc>
          <w:tcPr>
            <w:tcW w:w="2300" w:type="dxa"/>
            <w:vAlign w:val="bottom"/>
            <w:gridSpan w:val="2"/>
          </w:tcPr>
          <w:p>
            <w:pPr>
              <w:ind w:left="720"/>
              <w:spacing w:after="0"/>
              <w:rPr>
                <w:sz w:val="20"/>
                <w:szCs w:val="20"/>
                <w:color w:val="auto"/>
              </w:rPr>
            </w:pPr>
            <w:r>
              <w:rPr>
                <w:rFonts w:ascii="Arial" w:cs="Arial" w:eastAsia="Arial" w:hAnsi="Arial"/>
                <w:sz w:val="14"/>
                <w:szCs w:val="14"/>
                <w:color w:val="auto"/>
                <w:shd w:val="clear" w:color="auto" w:fill="F2F2F2"/>
              </w:rPr>
              <w:t>Belle Chasse</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7"/>
          </w:tcPr>
          <w:p>
            <w:pPr>
              <w:spacing w:after="0"/>
              <w:rPr>
                <w:sz w:val="20"/>
                <w:szCs w:val="20"/>
                <w:color w:val="auto"/>
              </w:rPr>
            </w:pPr>
            <w:r>
              <w:rPr>
                <w:rFonts w:ascii="Arial" w:cs="Arial" w:eastAsia="Arial" w:hAnsi="Arial"/>
                <w:sz w:val="14"/>
                <w:szCs w:val="14"/>
                <w:color w:val="auto"/>
                <w:shd w:val="clear" w:color="auto" w:fill="F2F2F2"/>
              </w:rPr>
              <w:t>Miami</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48"/>
        </w:trPr>
        <w:tc>
          <w:tcPr>
            <w:tcW w:w="1980" w:type="dxa"/>
            <w:vAlign w:val="bottom"/>
            <w:vMerge w:val="restart"/>
          </w:tcPr>
          <w:p>
            <w:pPr>
              <w:spacing w:after="0" w:line="145" w:lineRule="exact"/>
              <w:rPr>
                <w:sz w:val="20"/>
                <w:szCs w:val="20"/>
                <w:color w:val="auto"/>
              </w:rPr>
            </w:pPr>
            <w:r>
              <w:rPr>
                <w:rFonts w:ascii="Arial" w:cs="Arial" w:eastAsia="Arial" w:hAnsi="Arial"/>
                <w:sz w:val="14"/>
                <w:szCs w:val="14"/>
                <w:color w:val="auto"/>
                <w:shd w:val="clear" w:color="auto" w:fill="F2F2F2"/>
              </w:rPr>
              <w:t>Pharr</w:t>
            </w:r>
          </w:p>
        </w:tc>
        <w:tc>
          <w:tcPr>
            <w:tcW w:w="3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98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gridSpan w:val="2"/>
            <w:shd w:val="clear" w:color="auto" w:fill="F2F2F2"/>
          </w:tcPr>
          <w:p>
            <w:pPr>
              <w:spacing w:after="0" w:line="100" w:lineRule="exact"/>
              <w:rPr>
                <w:sz w:val="20"/>
                <w:szCs w:val="20"/>
                <w:color w:val="auto"/>
              </w:rPr>
            </w:pPr>
            <w:r>
              <w:rPr>
                <w:rFonts w:ascii="Arial" w:cs="Arial" w:eastAsia="Arial" w:hAnsi="Arial"/>
                <w:sz w:val="11"/>
                <w:szCs w:val="11"/>
                <w:color w:val="auto"/>
              </w:rPr>
              <w:t>Jefferson</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3300" w:type="dxa"/>
            <w:vAlign w:val="bottom"/>
            <w:vMerge w:val="restart"/>
          </w:tcPr>
          <w:p>
            <w:pPr>
              <w:ind w:left="1680"/>
              <w:spacing w:after="0"/>
              <w:rPr>
                <w:sz w:val="20"/>
                <w:szCs w:val="20"/>
                <w:color w:val="auto"/>
              </w:rPr>
            </w:pPr>
            <w:r>
              <w:rPr>
                <w:rFonts w:ascii="Arial" w:cs="Arial" w:eastAsia="Arial" w:hAnsi="Arial"/>
                <w:sz w:val="14"/>
                <w:szCs w:val="14"/>
                <w:b w:val="1"/>
                <w:bCs w:val="1"/>
                <w:color w:val="006A2B"/>
              </w:rPr>
              <w:t>Kirby Engine Systems</w:t>
            </w:r>
          </w:p>
        </w:tc>
        <w:tc>
          <w:tcPr>
            <w:tcW w:w="960" w:type="dxa"/>
            <w:vAlign w:val="bottom"/>
            <w:gridSpan w:val="4"/>
          </w:tcPr>
          <w:p>
            <w:pPr>
              <w:ind w:left="380"/>
              <w:spacing w:after="0"/>
              <w:rPr>
                <w:sz w:val="20"/>
                <w:szCs w:val="20"/>
                <w:color w:val="auto"/>
              </w:rPr>
            </w:pPr>
            <w:r>
              <w:rPr>
                <w:rFonts w:ascii="Arial" w:cs="Arial" w:eastAsia="Arial" w:hAnsi="Arial"/>
                <w:sz w:val="14"/>
                <w:szCs w:val="14"/>
                <w:color w:val="auto"/>
                <w:shd w:val="clear" w:color="auto" w:fill="F2F2F2"/>
              </w:rPr>
              <w:t>Houma</w:t>
            </w:r>
          </w:p>
        </w:tc>
        <w:tc>
          <w:tcPr>
            <w:tcW w:w="0" w:type="dxa"/>
            <w:vAlign w:val="bottom"/>
          </w:tcPr>
          <w:p>
            <w:pPr>
              <w:spacing w:after="0"/>
              <w:rPr>
                <w:sz w:val="1"/>
                <w:szCs w:val="1"/>
                <w:color w:val="auto"/>
              </w:rPr>
            </w:pPr>
          </w:p>
        </w:tc>
      </w:tr>
      <w:tr>
        <w:trPr>
          <w:trHeight w:val="36"/>
        </w:trPr>
        <w:tc>
          <w:tcPr>
            <w:tcW w:w="1980" w:type="dxa"/>
            <w:vAlign w:val="bottom"/>
          </w:tcPr>
          <w:p>
            <w:pPr>
              <w:spacing w:after="0"/>
              <w:rPr>
                <w:sz w:val="3"/>
                <w:szCs w:val="3"/>
                <w:color w:val="auto"/>
              </w:rPr>
            </w:pPr>
          </w:p>
        </w:tc>
        <w:tc>
          <w:tcPr>
            <w:tcW w:w="33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
        </w:trPr>
        <w:tc>
          <w:tcPr>
            <w:tcW w:w="1980" w:type="dxa"/>
            <w:vAlign w:val="bottom"/>
          </w:tcPr>
          <w:p>
            <w:pPr>
              <w:spacing w:after="0"/>
              <w:rPr>
                <w:sz w:val="6"/>
                <w:szCs w:val="6"/>
                <w:color w:val="auto"/>
              </w:rPr>
            </w:pPr>
          </w:p>
        </w:tc>
        <w:tc>
          <w:tcPr>
            <w:tcW w:w="33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gridSpan w:val="2"/>
            <w:vMerge w:val="restart"/>
            <w:shd w:val="clear" w:color="auto" w:fill="F2F2F2"/>
          </w:tcPr>
          <w:p>
            <w:pPr>
              <w:spacing w:after="0" w:line="99" w:lineRule="exact"/>
              <w:rPr>
                <w:sz w:val="20"/>
                <w:szCs w:val="20"/>
                <w:color w:val="auto"/>
              </w:rPr>
            </w:pPr>
            <w:r>
              <w:rPr>
                <w:rFonts w:ascii="Arial" w:cs="Arial" w:eastAsia="Arial" w:hAnsi="Arial"/>
                <w:sz w:val="11"/>
                <w:szCs w:val="11"/>
                <w:color w:val="auto"/>
              </w:rPr>
              <w:t>New Iberia</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60" w:type="dxa"/>
            <w:vAlign w:val="bottom"/>
            <w:gridSpan w:val="2"/>
            <w:vMerge w:val="continue"/>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20"/>
          </w:cols>
          <w:pgMar w:left="800" w:top="653"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80" w:val="left"/>
          <w:tab w:leader="none" w:pos="1560" w:val="left"/>
        </w:tabs>
        <w:rPr>
          <w:sz w:val="20"/>
          <w:szCs w:val="20"/>
          <w:color w:val="auto"/>
        </w:rPr>
      </w:pPr>
      <w:r>
        <w:rPr>
          <w:rFonts w:ascii="Arial" w:cs="Arial" w:eastAsia="Arial" w:hAnsi="Arial"/>
          <w:sz w:val="16"/>
          <w:szCs w:val="16"/>
          <w:color w:val="00712E"/>
        </w:rPr>
        <w:t>6</w:t>
      </w:r>
      <w:r>
        <w:rPr>
          <w:sz w:val="20"/>
          <w:szCs w:val="20"/>
          <w:color w:val="auto"/>
        </w:rPr>
        <w:tab/>
      </w:r>
      <w:r>
        <w:rPr>
          <w:rFonts w:ascii="Arial" w:cs="Arial" w:eastAsia="Arial" w:hAnsi="Arial"/>
          <w:sz w:val="12"/>
          <w:szCs w:val="12"/>
          <w:color w:val="4C4C4C"/>
        </w:rPr>
        <w:t>2025 Annual Report</w:t>
      </w:r>
      <w:r>
        <w:rPr>
          <w:sz w:val="20"/>
          <w:szCs w:val="20"/>
          <w:color w:val="auto"/>
        </w:rPr>
        <w:tab/>
      </w:r>
      <w:r>
        <w:rPr>
          <w:rFonts w:ascii="Arial" w:cs="Arial" w:eastAsia="Arial" w:hAnsi="Arial"/>
          <w:sz w:val="16"/>
          <w:szCs w:val="16"/>
          <w:color w:val="auto"/>
        </w:rPr>
        <w:t xml:space="preserve">| </w:t>
      </w:r>
      <w:r>
        <w:rPr>
          <w:rFonts w:ascii="Arial" w:cs="Arial" w:eastAsia="Arial" w:hAnsi="Arial"/>
          <w:sz w:val="10"/>
          <w:szCs w:val="10"/>
          <w:b w:val="1"/>
          <w:bCs w:val="1"/>
          <w:color w:val="00712E"/>
        </w:rPr>
        <w:t>Kirby Corporation</w:t>
      </w:r>
    </w:p>
    <w:p>
      <w:pPr>
        <w:sectPr>
          <w:pgSz w:w="12240" w:h="15840" w:orient="portrait"/>
          <w:cols w:equalWidth="0" w:num="1">
            <w:col w:w="10620"/>
          </w:cols>
          <w:pgMar w:left="800" w:top="653" w:right="820"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80"/>
        <w:spacing w:after="0"/>
        <w:rPr>
          <w:sz w:val="20"/>
          <w:szCs w:val="20"/>
          <w:color w:val="auto"/>
        </w:rPr>
      </w:pPr>
      <w:r>
        <w:rPr>
          <w:rFonts w:ascii="Arial" w:cs="Arial" w:eastAsia="Arial" w:hAnsi="Arial"/>
          <w:sz w:val="28"/>
          <w:szCs w:val="28"/>
          <w:b w:val="1"/>
          <w:bCs w:val="1"/>
          <w:color w:val="001E58"/>
        </w:rPr>
        <w:t>Power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-164465</wp:posOffset>
            </wp:positionV>
            <wp:extent cx="4057650" cy="384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extLst>
                    </a:blip>
                    <a:srcRect/>
                    <a:stretch>
                      <a:fillRect/>
                    </a:stretch>
                  </pic:blipFill>
                  <pic:spPr bwMode="auto">
                    <a:xfrm>
                      <a:off x="0" y="0"/>
                      <a:ext cx="4057650" cy="38493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Arial" w:cs="Arial" w:eastAsia="Arial" w:hAnsi="Arial"/>
          <w:sz w:val="16"/>
          <w:szCs w:val="16"/>
          <w:color w:val="0D0D0D"/>
        </w:rPr>
        <w:t>n power generation, which represented approximately 43% of</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5"/>
          <w:szCs w:val="15"/>
          <w:color w:val="0D0D0D"/>
        </w:rPr>
        <w:t>2025 segment revenues, Kirby primarily sells engineered power</w:t>
      </w:r>
    </w:p>
    <w:p>
      <w:pPr>
        <w:spacing w:after="0" w:line="88" w:lineRule="exact"/>
        <w:rPr>
          <w:sz w:val="20"/>
          <w:szCs w:val="20"/>
          <w:color w:val="auto"/>
        </w:rPr>
      </w:pPr>
    </w:p>
    <w:p>
      <w:pPr>
        <w:ind w:left="5480"/>
        <w:spacing w:after="0"/>
        <w:rPr>
          <w:sz w:val="20"/>
          <w:szCs w:val="20"/>
          <w:color w:val="auto"/>
        </w:rPr>
      </w:pPr>
      <w:r>
        <w:rPr>
          <w:rFonts w:ascii="Arial" w:cs="Arial" w:eastAsia="Arial" w:hAnsi="Arial"/>
          <w:sz w:val="16"/>
          <w:szCs w:val="16"/>
          <w:color w:val="0D0D0D"/>
        </w:rPr>
        <w:t>systems for prime power, behind the meter power plants,</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0D0D0D"/>
        </w:rPr>
        <w:t>microgrids, emergency, standby, and auxiliary power for</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0D0D0D"/>
        </w:rPr>
        <w:t>nuclear, commercial, and industrial applications. Kirby’s</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0D0D0D"/>
        </w:rPr>
        <w:t>engineered power systems include natural gas and diesel</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0D0D0D"/>
        </w:rPr>
        <w:t>generators, power distribution units, control systems, and</w:t>
      </w:r>
    </w:p>
    <w:p>
      <w:pPr>
        <w:spacing w:after="0" w:line="76" w:lineRule="exact"/>
        <w:rPr>
          <w:sz w:val="20"/>
          <w:szCs w:val="20"/>
          <w:color w:val="auto"/>
        </w:rPr>
      </w:pPr>
    </w:p>
    <w:p>
      <w:pPr>
        <w:ind w:left="5480"/>
        <w:spacing w:after="0" w:line="182" w:lineRule="exact"/>
        <w:rPr>
          <w:sz w:val="20"/>
          <w:szCs w:val="20"/>
          <w:color w:val="auto"/>
        </w:rPr>
      </w:pPr>
      <w:r>
        <w:rPr>
          <w:rFonts w:ascii="Arial" w:cs="Arial" w:eastAsia="Arial" w:hAnsi="Arial"/>
          <w:sz w:val="15"/>
          <w:szCs w:val="15"/>
          <w:color w:val="0D0D0D"/>
        </w:rPr>
        <w:t>IHSHUJL</w:t>
      </w:r>
      <w:r>
        <w:rPr>
          <w:rFonts w:ascii="PMingLiU" w:cs="PMingLiU" w:eastAsia="PMingLiU" w:hAnsi="PMingLiU"/>
          <w:sz w:val="15"/>
          <w:szCs w:val="15"/>
          <w:color w:val="0D0D0D"/>
        </w:rPr>
        <w:t/>
      </w:r>
      <w:r>
        <w:rPr>
          <w:rFonts w:ascii="Arial" w:cs="Arial" w:eastAsia="Arial" w:hAnsi="Arial"/>
          <w:sz w:val="15"/>
          <w:szCs w:val="15"/>
          <w:color w:val="0D0D0D"/>
        </w:rPr>
        <w:t>VM</w:t>
      </w:r>
      <w:r>
        <w:rPr>
          <w:rFonts w:ascii="PMingLiU" w:cs="PMingLiU" w:eastAsia="PMingLiU" w:hAnsi="PMingLiU"/>
          <w:sz w:val="15"/>
          <w:szCs w:val="15"/>
          <w:color w:val="0D0D0D"/>
        </w:rPr>
        <w:t/>
      </w:r>
      <w:r>
        <w:rPr>
          <w:rFonts w:ascii="Arial" w:cs="Arial" w:eastAsia="Arial" w:hAnsi="Arial"/>
          <w:sz w:val="15"/>
          <w:szCs w:val="15"/>
          <w:color w:val="0D0D0D"/>
        </w:rPr>
        <w:t>WSHU[</w:t>
      </w:r>
      <w:r>
        <w:rPr>
          <w:rFonts w:ascii="PMingLiU" w:cs="PMingLiU" w:eastAsia="PMingLiU" w:hAnsi="PMingLiU"/>
          <w:sz w:val="15"/>
          <w:szCs w:val="15"/>
          <w:color w:val="0D0D0D"/>
        </w:rPr>
        <w:t/>
      </w:r>
      <w:r>
        <w:rPr>
          <w:rFonts w:ascii="Arial" w:cs="Arial" w:eastAsia="Arial" w:hAnsi="Arial"/>
          <w:sz w:val="15"/>
          <w:szCs w:val="15"/>
          <w:color w:val="0D0D0D"/>
        </w:rPr>
        <w:t>LX\PWTLU[</w:t>
      </w:r>
      <w:r>
        <w:rPr>
          <w:rFonts w:ascii="PMingLiU" w:cs="PMingLiU" w:eastAsia="PMingLiU" w:hAnsi="PMingLiU"/>
          <w:sz w:val="15"/>
          <w:szCs w:val="15"/>
          <w:color w:val="0D0D0D"/>
        </w:rPr>
        <w:t/>
      </w:r>
      <w:r>
        <w:rPr>
          <w:rFonts w:ascii="Arial" w:cs="Arial" w:eastAsia="Arial" w:hAnsi="Arial"/>
          <w:sz w:val="15"/>
          <w:szCs w:val="15"/>
          <w:color w:val="0D0D0D"/>
        </w:rPr>
        <w:t>2PYI`</w:t>
      </w:r>
      <w:r>
        <w:rPr>
          <w:rFonts w:ascii="PMingLiU" w:cs="PMingLiU" w:eastAsia="PMingLiU" w:hAnsi="PMingLiU"/>
          <w:sz w:val="15"/>
          <w:szCs w:val="15"/>
          <w:color w:val="0D0D0D"/>
        </w:rPr>
        <w:t/>
      </w:r>
      <w:r>
        <w:rPr>
          <w:rFonts w:ascii="Arial" w:cs="Arial" w:eastAsia="Arial" w:hAnsi="Arial"/>
          <w:sz w:val="15"/>
          <w:szCs w:val="15"/>
          <w:color w:val="0D0D0D"/>
        </w:rPr>
        <w:t>HSZV</w:t>
      </w:r>
      <w:r>
        <w:rPr>
          <w:rFonts w:ascii="PMingLiU" w:cs="PMingLiU" w:eastAsia="PMingLiU" w:hAnsi="PMingLiU"/>
          <w:sz w:val="15"/>
          <w:szCs w:val="15"/>
          <w:color w:val="0D0D0D"/>
        </w:rPr>
        <w:t/>
      </w:r>
      <w:r>
        <w:rPr>
          <w:rFonts w:ascii="Arial" w:cs="Arial" w:eastAsia="Arial" w:hAnsi="Arial"/>
          <w:sz w:val="15"/>
          <w:szCs w:val="15"/>
          <w:color w:val="0D0D0D"/>
        </w:rPr>
        <w:t>YLU[Z</w:t>
      </w:r>
      <w:r>
        <w:rPr>
          <w:rFonts w:ascii="PMingLiU" w:cs="PMingLiU" w:eastAsia="PMingLiU" w:hAnsi="PMingLiU"/>
          <w:sz w:val="15"/>
          <w:szCs w:val="15"/>
          <w:color w:val="0D0D0D"/>
        </w:rPr>
        <w:t/>
      </w:r>
      <w:r>
        <w:rPr>
          <w:rFonts w:ascii="Arial" w:cs="Arial" w:eastAsia="Arial" w:hAnsi="Arial"/>
          <w:sz w:val="15"/>
          <w:szCs w:val="15"/>
          <w:color w:val="0D0D0D"/>
        </w:rPr>
        <w:t>TVIPSL</w:t>
      </w:r>
      <w:r>
        <w:rPr>
          <w:rFonts w:ascii="PMingLiU" w:cs="PMingLiU" w:eastAsia="PMingLiU" w:hAnsi="PMingLiU"/>
          <w:sz w:val="15"/>
          <w:szCs w:val="15"/>
          <w:color w:val="0D0D0D"/>
        </w:rPr>
        <w:t/>
      </w:r>
      <w:r>
        <w:rPr>
          <w:rFonts w:ascii="Arial" w:cs="Arial" w:eastAsia="Arial" w:hAnsi="Arial"/>
          <w:sz w:val="15"/>
          <w:szCs w:val="15"/>
          <w:color w:val="0D0D0D"/>
        </w:rPr>
        <w:t>Z[HUK</w:t>
      </w:r>
      <w:r>
        <w:rPr>
          <w:rFonts w:ascii="PMingLiU" w:cs="PMingLiU" w:eastAsia="PMingLiU" w:hAnsi="PMingLiU"/>
          <w:sz w:val="15"/>
          <w:szCs w:val="15"/>
          <w:color w:val="0D0D0D"/>
        </w:rPr>
        <w:t/>
      </w:r>
      <w:r>
        <w:rPr>
          <w:rFonts w:ascii="Arial" w:cs="Arial" w:eastAsia="Arial" w:hAnsi="Arial"/>
          <w:sz w:val="15"/>
          <w:szCs w:val="15"/>
          <w:color w:val="0D0D0D"/>
        </w:rPr>
        <w:t>I`</w:t>
      </w:r>
    </w:p>
    <w:p>
      <w:pPr>
        <w:spacing w:after="0" w:line="78" w:lineRule="exact"/>
        <w:rPr>
          <w:sz w:val="20"/>
          <w:szCs w:val="20"/>
          <w:color w:val="auto"/>
        </w:rPr>
      </w:pPr>
    </w:p>
    <w:p>
      <w:pPr>
        <w:ind w:left="5480"/>
        <w:spacing w:after="0"/>
        <w:rPr>
          <w:sz w:val="20"/>
          <w:szCs w:val="20"/>
          <w:color w:val="auto"/>
        </w:rPr>
      </w:pPr>
      <w:r>
        <w:rPr>
          <w:rFonts w:ascii="Arial" w:cs="Arial" w:eastAsia="Arial" w:hAnsi="Arial"/>
          <w:sz w:val="16"/>
          <w:szCs w:val="16"/>
          <w:color w:val="0D0D0D"/>
        </w:rPr>
        <w:t>generator systems. Power generation customers include data</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5"/>
          <w:szCs w:val="15"/>
          <w:color w:val="0D0D0D"/>
        </w:rPr>
        <w:t>centers, behind the meter power companies, the nuclear power</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6"/>
          <w:szCs w:val="16"/>
          <w:color w:val="0D0D0D"/>
        </w:rPr>
        <w:t>ndustry, power as a service companies, municipalities,</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0D0D0D"/>
        </w:rPr>
        <w:t>universities, medical facilities, petrochemical plants,</w:t>
      </w:r>
    </w:p>
    <w:p>
      <w:pPr>
        <w:spacing w:after="0" w:line="76" w:lineRule="exact"/>
        <w:rPr>
          <w:sz w:val="20"/>
          <w:szCs w:val="20"/>
          <w:color w:val="auto"/>
        </w:rPr>
      </w:pPr>
    </w:p>
    <w:p>
      <w:pPr>
        <w:ind w:left="5480"/>
        <w:spacing w:after="0" w:line="170" w:lineRule="exact"/>
        <w:rPr>
          <w:sz w:val="20"/>
          <w:szCs w:val="20"/>
          <w:color w:val="auto"/>
        </w:rPr>
      </w:pPr>
      <w:r>
        <w:rPr>
          <w:rFonts w:ascii="Arial" w:cs="Arial" w:eastAsia="Arial" w:hAnsi="Arial"/>
          <w:sz w:val="14"/>
          <w:szCs w:val="14"/>
          <w:color w:val="0D0D0D"/>
        </w:rPr>
        <w:t>THU\MHJ[\YPUN</w:t>
      </w:r>
      <w:r>
        <w:rPr>
          <w:rFonts w:ascii="PMingLiU" w:cs="PMingLiU" w:eastAsia="PMingLiU" w:hAnsi="PMingLiU"/>
          <w:sz w:val="14"/>
          <w:szCs w:val="14"/>
          <w:color w:val="0D0D0D"/>
        </w:rPr>
        <w:t/>
      </w:r>
      <w:r>
        <w:rPr>
          <w:rFonts w:ascii="Arial" w:cs="Arial" w:eastAsia="Arial" w:hAnsi="Arial"/>
          <w:sz w:val="14"/>
          <w:szCs w:val="14"/>
          <w:color w:val="0D0D0D"/>
        </w:rPr>
        <w:t>MHJPSP[PLZ</w:t>
      </w:r>
      <w:r>
        <w:rPr>
          <w:rFonts w:ascii="PMingLiU" w:cs="PMingLiU" w:eastAsia="PMingLiU" w:hAnsi="PMingLiU"/>
          <w:sz w:val="14"/>
          <w:szCs w:val="14"/>
          <w:color w:val="0D0D0D"/>
        </w:rPr>
        <w:t/>
      </w:r>
      <w:r>
        <w:rPr>
          <w:rFonts w:ascii="Arial" w:cs="Arial" w:eastAsia="Arial" w:hAnsi="Arial"/>
          <w:sz w:val="14"/>
          <w:szCs w:val="14"/>
          <w:color w:val="0D0D0D"/>
        </w:rPr>
        <w:t>YL[HPS</w:t>
      </w:r>
      <w:r>
        <w:rPr>
          <w:rFonts w:ascii="PMingLiU" w:cs="PMingLiU" w:eastAsia="PMingLiU" w:hAnsi="PMingLiU"/>
          <w:sz w:val="14"/>
          <w:szCs w:val="14"/>
          <w:color w:val="0D0D0D"/>
        </w:rPr>
        <w:t/>
      </w:r>
      <w:r>
        <w:rPr>
          <w:rFonts w:ascii="Arial" w:cs="Arial" w:eastAsia="Arial" w:hAnsi="Arial"/>
          <w:sz w:val="14"/>
          <w:szCs w:val="14"/>
          <w:color w:val="0D0D0D"/>
        </w:rPr>
        <w:t>Z[VYLZ</w:t>
      </w:r>
      <w:r>
        <w:rPr>
          <w:rFonts w:ascii="PMingLiU" w:cs="PMingLiU" w:eastAsia="PMingLiU" w:hAnsi="PMingLiU"/>
          <w:sz w:val="14"/>
          <w:szCs w:val="14"/>
          <w:color w:val="0D0D0D"/>
        </w:rPr>
        <w:t/>
      </w:r>
      <w:r>
        <w:rPr>
          <w:rFonts w:ascii="Arial" w:cs="Arial" w:eastAsia="Arial" w:hAnsi="Arial"/>
          <w:sz w:val="14"/>
          <w:szCs w:val="14"/>
          <w:color w:val="0D0D0D"/>
        </w:rPr>
        <w:t>HUK</w:t>
      </w:r>
      <w:r>
        <w:rPr>
          <w:rFonts w:ascii="PMingLiU" w:cs="PMingLiU" w:eastAsia="PMingLiU" w:hAnsi="PMingLiU"/>
          <w:sz w:val="14"/>
          <w:szCs w:val="14"/>
          <w:color w:val="0D0D0D"/>
        </w:rPr>
        <w:t/>
      </w:r>
      <w:r>
        <w:rPr>
          <w:rFonts w:ascii="Arial" w:cs="Arial" w:eastAsia="Arial" w:hAnsi="Arial"/>
          <w:sz w:val="14"/>
          <w:szCs w:val="14"/>
          <w:color w:val="0D0D0D"/>
        </w:rPr>
        <w:t>V</w:t>
      </w:r>
      <w:r>
        <w:rPr>
          <w:rFonts w:ascii="Arial" w:cs="Arial" w:eastAsia="Arial" w:hAnsi="Arial"/>
          <w:sz w:val="14"/>
          <w:szCs w:val="14"/>
          <w:color w:val="0D0D0D"/>
        </w:rPr>
        <w:t>ѝ</w:t>
      </w:r>
      <w:r>
        <w:rPr>
          <w:rFonts w:ascii="Arial" w:cs="Arial" w:eastAsia="Arial" w:hAnsi="Arial"/>
          <w:sz w:val="14"/>
          <w:szCs w:val="14"/>
          <w:color w:val="0D0D0D"/>
        </w:rPr>
        <w:t>JL</w:t>
      </w:r>
      <w:r>
        <w:rPr>
          <w:rFonts w:ascii="PMingLiU" w:cs="PMingLiU" w:eastAsia="PMingLiU" w:hAnsi="PMingLiU"/>
          <w:sz w:val="14"/>
          <w:szCs w:val="14"/>
          <w:color w:val="0D0D0D"/>
        </w:rPr>
        <w:t/>
      </w:r>
      <w:r>
        <w:rPr>
          <w:rFonts w:ascii="Arial" w:cs="Arial" w:eastAsia="Arial" w:hAnsi="Arial"/>
          <w:sz w:val="14"/>
          <w:szCs w:val="14"/>
          <w:color w:val="0D0D0D"/>
        </w:rPr>
        <w:t>JVTWSL_LZ</w:t>
      </w:r>
      <w:r>
        <w:rPr>
          <w:rFonts w:ascii="PMingLiU" w:cs="PMingLiU" w:eastAsia="PMingLiU" w:hAnsi="PMingLiU"/>
          <w:sz w:val="14"/>
          <w:szCs w:val="14"/>
          <w:color w:val="0D0D0D"/>
        </w:rPr>
        <w:t/>
      </w:r>
    </w:p>
    <w:p>
      <w:pPr>
        <w:spacing w:after="0" w:line="212" w:lineRule="exact"/>
        <w:rPr>
          <w:sz w:val="20"/>
          <w:szCs w:val="20"/>
          <w:color w:val="auto"/>
        </w:rPr>
      </w:pPr>
    </w:p>
    <w:p>
      <w:pPr>
        <w:ind w:left="5480" w:right="360"/>
        <w:spacing w:after="0" w:line="445" w:lineRule="auto"/>
        <w:rPr>
          <w:sz w:val="20"/>
          <w:szCs w:val="20"/>
          <w:color w:val="auto"/>
        </w:rPr>
      </w:pPr>
      <w:r>
        <w:rPr>
          <w:rFonts w:ascii="Arial" w:cs="Arial" w:eastAsia="Arial" w:hAnsi="Arial"/>
          <w:sz w:val="15"/>
          <w:szCs w:val="15"/>
          <w:b w:val="1"/>
          <w:bCs w:val="1"/>
          <w:color w:val="00712E"/>
        </w:rPr>
        <w:t>OEM Brands: MTU, EMD, Nordberg, Woodward, Cooper Machinery, Kawasaki, Volvo Penta, and Atlas Copco.</w:t>
      </w:r>
    </w:p>
    <w:p>
      <w:pPr>
        <w:spacing w:after="0" w:line="143" w:lineRule="exact"/>
        <w:rPr>
          <w:sz w:val="20"/>
          <w:szCs w:val="20"/>
          <w:color w:val="auto"/>
        </w:rPr>
      </w:pPr>
    </w:p>
    <w:p>
      <w:pPr>
        <w:ind w:left="5480" w:right="100"/>
        <w:spacing w:after="0"/>
        <w:rPr>
          <w:sz w:val="20"/>
          <w:szCs w:val="20"/>
          <w:color w:val="auto"/>
        </w:rPr>
      </w:pPr>
      <w:r>
        <w:rPr>
          <w:rFonts w:ascii="Arial" w:cs="Arial" w:eastAsia="Arial" w:hAnsi="Arial"/>
          <w:sz w:val="14"/>
          <w:szCs w:val="14"/>
          <w:i w:val="1"/>
          <w:iCs w:val="1"/>
          <w:color w:val="00712E"/>
        </w:rPr>
        <w:t>MTU diesel generators staged in a storage facility prior to a data center installation.</w:t>
      </w:r>
    </w:p>
    <w:p>
      <w:pPr>
        <w:spacing w:after="0" w:line="158" w:lineRule="exact"/>
        <w:rPr>
          <w:sz w:val="20"/>
          <w:szCs w:val="20"/>
          <w:color w:val="auto"/>
        </w:rPr>
      </w:pPr>
    </w:p>
    <w:p>
      <w:pPr>
        <w:ind w:left="5480" w:right="300"/>
        <w:spacing w:after="0"/>
        <w:rPr>
          <w:sz w:val="20"/>
          <w:szCs w:val="20"/>
          <w:color w:val="auto"/>
        </w:rPr>
      </w:pPr>
      <w:r>
        <w:rPr>
          <w:rFonts w:ascii="Arial" w:cs="Arial" w:eastAsia="Arial" w:hAnsi="Arial"/>
          <w:sz w:val="14"/>
          <w:szCs w:val="14"/>
          <w:i w:val="1"/>
          <w:iCs w:val="1"/>
          <w:color w:val="00712E"/>
        </w:rPr>
        <w:t>Under construction data center that is being built in Texas with MTU generators and Kirby designed enclosures.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499110</wp:posOffset>
            </wp:positionV>
            <wp:extent cx="7658100" cy="4396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7658100" cy="4396105"/>
                    </a:xfrm>
                    <a:prstGeom prst="rect">
                      <a:avLst/>
                    </a:prstGeom>
                    <a:noFill/>
                  </pic:spPr>
                </pic:pic>
              </a:graphicData>
            </a:graphic>
          </wp:anchor>
        </w:drawing>
      </w:r>
    </w:p>
    <w:p>
      <w:pPr>
        <w:sectPr>
          <w:pgSz w:w="12240" w:h="15840" w:orient="portrait"/>
          <w:cols w:equalWidth="0" w:num="1">
            <w:col w:w="10000"/>
          </w:cols>
          <w:pgMar w:left="1440" w:top="144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40"/>
        <w:spacing w:after="0"/>
        <w:tabs>
          <w:tab w:leader="none" w:pos="9880" w:val="left"/>
        </w:tabs>
        <w:rPr>
          <w:sz w:val="20"/>
          <w:szCs w:val="20"/>
          <w:color w:val="auto"/>
        </w:rPr>
      </w:pPr>
      <w:r>
        <w:rPr>
          <w:rFonts w:ascii="Arial" w:cs="Arial" w:eastAsia="Arial" w:hAnsi="Arial"/>
          <w:sz w:val="12"/>
          <w:szCs w:val="12"/>
          <w:b w:val="1"/>
          <w:bCs w:val="1"/>
          <w:color w:val="FFFFFF"/>
        </w:rPr>
        <w:t xml:space="preserve">Kirby Corporation </w:t>
      </w:r>
      <w:r>
        <w:rPr>
          <w:rFonts w:ascii="Arial" w:cs="Arial" w:eastAsia="Arial" w:hAnsi="Arial"/>
          <w:sz w:val="20"/>
          <w:szCs w:val="20"/>
          <w:color w:val="FFFFFF"/>
        </w:rPr>
        <w:t>|</w:t>
      </w:r>
      <w:r>
        <w:rPr>
          <w:rFonts w:ascii="Arial" w:cs="Arial" w:eastAsia="Arial" w:hAnsi="Arial"/>
          <w:sz w:val="12"/>
          <w:szCs w:val="12"/>
          <w:b w:val="1"/>
          <w:bCs w:val="1"/>
          <w:color w:val="FFFFFF"/>
        </w:rPr>
        <w:t xml:space="preserve"> </w:t>
      </w:r>
      <w:r>
        <w:rPr>
          <w:rFonts w:ascii="Arial" w:cs="Arial" w:eastAsia="Arial" w:hAnsi="Arial"/>
          <w:sz w:val="12"/>
          <w:szCs w:val="12"/>
          <w:color w:val="FFFFFF"/>
        </w:rPr>
        <w:t>2025 Annual Report</w:t>
      </w:r>
      <w:r>
        <w:rPr>
          <w:sz w:val="20"/>
          <w:szCs w:val="20"/>
          <w:color w:val="auto"/>
        </w:rPr>
        <w:tab/>
      </w:r>
      <w:r>
        <w:rPr>
          <w:rFonts w:ascii="Arial" w:cs="Arial" w:eastAsia="Arial" w:hAnsi="Arial"/>
          <w:sz w:val="16"/>
          <w:szCs w:val="16"/>
          <w:color w:val="FFFFFF"/>
        </w:rPr>
        <w:t>7</w:t>
      </w:r>
    </w:p>
    <w:p>
      <w:pPr>
        <w:sectPr>
          <w:pgSz w:w="12240" w:h="15840" w:orient="portrait"/>
          <w:cols w:equalWidth="0" w:num="1">
            <w:col w:w="10000"/>
          </w:cols>
          <w:pgMar w:left="1440" w:top="1440" w:right="80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00712E"/>
        </w:rPr>
        <w:t xml:space="preserve">Distribution and Services </w:t>
      </w:r>
      <w:r>
        <w:rPr>
          <w:rFonts w:ascii="Arial" w:cs="Arial" w:eastAsia="Arial" w:hAnsi="Arial"/>
          <w:sz w:val="20"/>
          <w:szCs w:val="20"/>
          <w:color w:val="00712E"/>
        </w:rPr>
        <w:t>continued</w:t>
      </w:r>
    </w:p>
    <w:p>
      <w:pPr>
        <w:spacing w:after="0" w:line="389" w:lineRule="exact"/>
        <w:rPr>
          <w:sz w:val="20"/>
          <w:szCs w:val="20"/>
          <w:color w:val="auto"/>
        </w:rPr>
      </w:pPr>
    </w:p>
    <w:p>
      <w:pPr>
        <w:spacing w:after="0"/>
        <w:rPr>
          <w:sz w:val="20"/>
          <w:szCs w:val="20"/>
          <w:color w:val="auto"/>
        </w:rPr>
      </w:pPr>
      <w:r>
        <w:rPr>
          <w:rFonts w:ascii="Arial" w:cs="Arial" w:eastAsia="Arial" w:hAnsi="Arial"/>
          <w:sz w:val="28"/>
          <w:szCs w:val="28"/>
          <w:b w:val="1"/>
          <w:bCs w:val="1"/>
          <w:color w:val="001E58"/>
        </w:rPr>
        <w:t>Commercial &amp; Industrial</w:t>
      </w:r>
    </w:p>
    <w:p>
      <w:pPr>
        <w:spacing w:after="0" w:line="200" w:lineRule="exact"/>
        <w:rPr>
          <w:sz w:val="20"/>
          <w:szCs w:val="20"/>
          <w:color w:val="auto"/>
        </w:rPr>
      </w:pPr>
    </w:p>
    <w:p>
      <w:pPr>
        <w:spacing w:after="0" w:line="246" w:lineRule="exact"/>
        <w:rPr>
          <w:sz w:val="20"/>
          <w:szCs w:val="20"/>
          <w:color w:val="auto"/>
        </w:rPr>
      </w:pPr>
    </w:p>
    <w:p>
      <w:pPr>
        <w:jc w:val="both"/>
        <w:ind w:right="240"/>
        <w:spacing w:after="0" w:line="242" w:lineRule="exact"/>
        <w:rPr>
          <w:sz w:val="20"/>
          <w:szCs w:val="20"/>
          <w:color w:val="auto"/>
        </w:rPr>
      </w:pPr>
      <w:r>
        <w:rPr>
          <w:rFonts w:ascii="Arial" w:cs="Arial" w:eastAsia="Arial" w:hAnsi="Arial"/>
          <w:sz w:val="13"/>
          <w:szCs w:val="13"/>
          <w:color w:val="0D0D0D"/>
        </w:rPr>
        <w:t>In commercial and industrial, which represented approximately 46% of 2025 segment revenues, Kirby supports domestic and international J\Z[VTLYZ</w:t>
      </w:r>
      <w:r>
        <w:rPr>
          <w:rFonts w:ascii="PMingLiU" w:cs="PMingLiU" w:eastAsia="PMingLiU" w:hAnsi="PMingLiU"/>
          <w:sz w:val="13"/>
          <w:szCs w:val="13"/>
          <w:color w:val="0D0D0D"/>
        </w:rPr>
        <w:t/>
      </w:r>
      <w:r>
        <w:rPr>
          <w:rFonts w:ascii="Arial" w:cs="Arial" w:eastAsia="Arial" w:hAnsi="Arial"/>
          <w:sz w:val="13"/>
          <w:szCs w:val="13"/>
          <w:color w:val="0D0D0D"/>
        </w:rPr>
        <w:t>[OYV\NO</w:t>
      </w:r>
      <w:r>
        <w:rPr>
          <w:rFonts w:ascii="PMingLiU" w:cs="PMingLiU" w:eastAsia="PMingLiU" w:hAnsi="PMingLiU"/>
          <w:sz w:val="13"/>
          <w:szCs w:val="13"/>
          <w:color w:val="0D0D0D"/>
        </w:rPr>
        <w:t/>
      </w:r>
      <w:r>
        <w:rPr>
          <w:rFonts w:ascii="Arial" w:cs="Arial" w:eastAsia="Arial" w:hAnsi="Arial"/>
          <w:sz w:val="13"/>
          <w:szCs w:val="13"/>
          <w:color w:val="0D0D0D"/>
        </w:rPr>
        <w:t>[OL</w:t>
      </w:r>
      <w:r>
        <w:rPr>
          <w:rFonts w:ascii="PMingLiU" w:cs="PMingLiU" w:eastAsia="PMingLiU" w:hAnsi="PMingLiU"/>
          <w:sz w:val="13"/>
          <w:szCs w:val="13"/>
          <w:color w:val="0D0D0D"/>
        </w:rPr>
        <w:t/>
      </w:r>
      <w:r>
        <w:rPr>
          <w:rFonts w:ascii="Arial" w:cs="Arial" w:eastAsia="Arial" w:hAnsi="Arial"/>
          <w:sz w:val="13"/>
          <w:szCs w:val="13"/>
          <w:color w:val="0D0D0D"/>
        </w:rPr>
        <w:t>KPZ[YPI\[PVU</w:t>
      </w:r>
      <w:r>
        <w:rPr>
          <w:rFonts w:ascii="PMingLiU" w:cs="PMingLiU" w:eastAsia="PMingLiU" w:hAnsi="PMingLiU"/>
          <w:sz w:val="13"/>
          <w:szCs w:val="13"/>
          <w:color w:val="0D0D0D"/>
        </w:rPr>
        <w:t/>
      </w:r>
      <w:r>
        <w:rPr>
          <w:rFonts w:ascii="Arial" w:cs="Arial" w:eastAsia="Arial" w:hAnsi="Arial"/>
          <w:sz w:val="13"/>
          <w:szCs w:val="13"/>
          <w:color w:val="0D0D0D"/>
        </w:rPr>
        <w:t>HUK</w:t>
      </w:r>
      <w:r>
        <w:rPr>
          <w:rFonts w:ascii="PMingLiU" w:cs="PMingLiU" w:eastAsia="PMingLiU" w:hAnsi="PMingLiU"/>
          <w:sz w:val="13"/>
          <w:szCs w:val="13"/>
          <w:color w:val="0D0D0D"/>
        </w:rPr>
        <w:t/>
      </w:r>
      <w:r>
        <w:rPr>
          <w:rFonts w:ascii="Arial" w:cs="Arial" w:eastAsia="Arial" w:hAnsi="Arial"/>
          <w:sz w:val="13"/>
          <w:szCs w:val="13"/>
          <w:color w:val="0D0D0D"/>
        </w:rPr>
        <w:t>ZLY]PJL</w:t>
      </w:r>
      <w:r>
        <w:rPr>
          <w:rFonts w:ascii="PMingLiU" w:cs="PMingLiU" w:eastAsia="PMingLiU" w:hAnsi="PMingLiU"/>
          <w:sz w:val="13"/>
          <w:szCs w:val="13"/>
          <w:color w:val="0D0D0D"/>
        </w:rPr>
        <w:t/>
      </w:r>
      <w:r>
        <w:rPr>
          <w:rFonts w:ascii="Arial" w:cs="Arial" w:eastAsia="Arial" w:hAnsi="Arial"/>
          <w:sz w:val="13"/>
          <w:szCs w:val="13"/>
          <w:color w:val="0D0D0D"/>
        </w:rPr>
        <w:t>VM</w:t>
      </w:r>
      <w:r>
        <w:rPr>
          <w:rFonts w:ascii="PMingLiU" w:cs="PMingLiU" w:eastAsia="PMingLiU" w:hAnsi="PMingLiU"/>
          <w:sz w:val="13"/>
          <w:szCs w:val="13"/>
          <w:color w:val="0D0D0D"/>
        </w:rPr>
        <w:t/>
      </w:r>
      <w:r>
        <w:rPr>
          <w:rFonts w:ascii="Arial" w:cs="Arial" w:eastAsia="Arial" w:hAnsi="Arial"/>
          <w:sz w:val="13"/>
          <w:szCs w:val="13"/>
          <w:color w:val="0D0D0D"/>
        </w:rPr>
        <w:t>TLKP\T</w:t>
      </w:r>
      <w:r>
        <w:rPr>
          <w:rFonts w:ascii="PMingLiU" w:cs="PMingLiU" w:eastAsia="PMingLiU" w:hAnsi="PMingLiU"/>
          <w:sz w:val="13"/>
          <w:szCs w:val="13"/>
          <w:color w:val="0D0D0D"/>
        </w:rPr>
        <w:t/>
      </w:r>
      <w:r>
        <w:rPr>
          <w:rFonts w:ascii="Arial" w:cs="Arial" w:eastAsia="Arial" w:hAnsi="Arial"/>
          <w:sz w:val="13"/>
          <w:szCs w:val="13"/>
          <w:color w:val="0D0D0D"/>
        </w:rPr>
        <w:t>ZWLLK HUK</w:t>
      </w:r>
      <w:r>
        <w:rPr>
          <w:rFonts w:ascii="PMingLiU" w:cs="PMingLiU" w:eastAsia="PMingLiU" w:hAnsi="PMingLiU"/>
          <w:sz w:val="13"/>
          <w:szCs w:val="13"/>
          <w:color w:val="0D0D0D"/>
        </w:rPr>
        <w:t/>
      </w:r>
      <w:r>
        <w:rPr>
          <w:rFonts w:ascii="Arial" w:cs="Arial" w:eastAsia="Arial" w:hAnsi="Arial"/>
          <w:sz w:val="13"/>
          <w:szCs w:val="13"/>
          <w:color w:val="0D0D0D"/>
        </w:rPr>
        <w:t>OPNO</w:t>
      </w:r>
      <w:r>
        <w:rPr>
          <w:rFonts w:ascii="PMingLiU" w:cs="PMingLiU" w:eastAsia="PMingLiU" w:hAnsi="PMingLiU"/>
          <w:sz w:val="13"/>
          <w:szCs w:val="13"/>
          <w:color w:val="0D0D0D"/>
        </w:rPr>
        <w:t/>
      </w:r>
      <w:r>
        <w:rPr>
          <w:rFonts w:ascii="Arial" w:cs="Arial" w:eastAsia="Arial" w:hAnsi="Arial"/>
          <w:sz w:val="13"/>
          <w:szCs w:val="13"/>
          <w:color w:val="0D0D0D"/>
        </w:rPr>
        <w:t>ZWLLK</w:t>
      </w:r>
      <w:r>
        <w:rPr>
          <w:rFonts w:ascii="PMingLiU" w:cs="PMingLiU" w:eastAsia="PMingLiU" w:hAnsi="PMingLiU"/>
          <w:sz w:val="13"/>
          <w:szCs w:val="13"/>
          <w:color w:val="0D0D0D"/>
        </w:rPr>
        <w:t/>
      </w:r>
      <w:r>
        <w:rPr>
          <w:rFonts w:ascii="Arial" w:cs="Arial" w:eastAsia="Arial" w:hAnsi="Arial"/>
          <w:sz w:val="13"/>
          <w:szCs w:val="13"/>
          <w:color w:val="0D0D0D"/>
        </w:rPr>
        <w:t>KPLZLS</w:t>
      </w:r>
      <w:r>
        <w:rPr>
          <w:rFonts w:ascii="PMingLiU" w:cs="PMingLiU" w:eastAsia="PMingLiU" w:hAnsi="PMingLiU"/>
          <w:sz w:val="13"/>
          <w:szCs w:val="13"/>
          <w:color w:val="0D0D0D"/>
        </w:rPr>
        <w:t/>
      </w:r>
      <w:r>
        <w:rPr>
          <w:rFonts w:ascii="Arial" w:cs="Arial" w:eastAsia="Arial" w:hAnsi="Arial"/>
          <w:sz w:val="13"/>
          <w:szCs w:val="13"/>
          <w:color w:val="0D0D0D"/>
        </w:rPr>
        <w:t>LUNPULZ</w:t>
      </w:r>
      <w:r>
        <w:rPr>
          <w:rFonts w:ascii="PMingLiU" w:cs="PMingLiU" w:eastAsia="PMingLiU" w:hAnsi="PMingLiU"/>
          <w:sz w:val="13"/>
          <w:szCs w:val="13"/>
          <w:color w:val="0D0D0D"/>
        </w:rPr>
        <w:t/>
      </w:r>
      <w:r>
        <w:rPr>
          <w:rFonts w:ascii="Arial" w:cs="Arial" w:eastAsia="Arial" w:hAnsi="Arial"/>
          <w:sz w:val="13"/>
          <w:szCs w:val="13"/>
          <w:color w:val="0D0D0D"/>
        </w:rPr>
        <w:t>HUK</w:t>
      </w:r>
      <w:r>
        <w:rPr>
          <w:rFonts w:ascii="PMingLiU" w:cs="PMingLiU" w:eastAsia="PMingLiU" w:hAnsi="PMingLiU"/>
          <w:sz w:val="13"/>
          <w:szCs w:val="13"/>
          <w:color w:val="0D0D0D"/>
        </w:rPr>
        <w:t/>
      </w:r>
      <w:r>
        <w:rPr>
          <w:rFonts w:ascii="Arial" w:cs="Arial" w:eastAsia="Arial" w:hAnsi="Arial"/>
          <w:sz w:val="13"/>
          <w:szCs w:val="13"/>
          <w:color w:val="0D0D0D"/>
        </w:rPr>
        <w:t>HUJPSSHY`</w:t>
      </w:r>
      <w:r>
        <w:rPr>
          <w:rFonts w:ascii="PMingLiU" w:cs="PMingLiU" w:eastAsia="PMingLiU" w:hAnsi="PMingLiU"/>
          <w:sz w:val="13"/>
          <w:szCs w:val="13"/>
          <w:color w:val="0D0D0D"/>
        </w:rPr>
        <w:t/>
      </w:r>
      <w:r>
        <w:rPr>
          <w:rFonts w:ascii="Arial" w:cs="Arial" w:eastAsia="Arial" w:hAnsi="Arial"/>
          <w:sz w:val="13"/>
          <w:szCs w:val="13"/>
          <w:color w:val="0D0D0D"/>
        </w:rPr>
        <w:t>LX\PWTLU[</w:t>
      </w:r>
      <w:r>
        <w:rPr>
          <w:rFonts w:ascii="PMingLiU" w:cs="PMingLiU" w:eastAsia="PMingLiU" w:hAnsi="PMingLiU"/>
          <w:sz w:val="13"/>
          <w:szCs w:val="13"/>
          <w:color w:val="0D0D0D"/>
        </w:rPr>
        <w:t/>
      </w:r>
      <w:r>
        <w:rPr>
          <w:rFonts w:ascii="Arial" w:cs="Arial" w:eastAsia="Arial" w:hAnsi="Arial"/>
          <w:sz w:val="13"/>
          <w:szCs w:val="13"/>
          <w:color w:val="0D0D0D"/>
        </w:rPr>
        <w:t>\ZLK</w:t>
      </w:r>
      <w:r>
        <w:rPr>
          <w:rFonts w:ascii="PMingLiU" w:cs="PMingLiU" w:eastAsia="PMingLiU" w:hAnsi="PMingLiU"/>
          <w:sz w:val="13"/>
          <w:szCs w:val="13"/>
          <w:color w:val="0D0D0D"/>
        </w:rPr>
        <w:t/>
      </w:r>
      <w:r>
        <w:rPr>
          <w:rFonts w:ascii="Arial" w:cs="Arial" w:eastAsia="Arial" w:hAnsi="Arial"/>
          <w:sz w:val="13"/>
          <w:szCs w:val="13"/>
          <w:color w:val="0D0D0D"/>
        </w:rPr>
        <w:t>WYPTHYPS`</w:t>
      </w:r>
      <w:r>
        <w:rPr>
          <w:rFonts w:ascii="PMingLiU" w:cs="PMingLiU" w:eastAsia="PMingLiU" w:hAnsi="PMingLiU"/>
          <w:sz w:val="13"/>
          <w:szCs w:val="13"/>
          <w:color w:val="0D0D0D"/>
        </w:rPr>
        <w:t/>
      </w:r>
      <w:r>
        <w:rPr>
          <w:rFonts w:ascii="Arial" w:cs="Arial" w:eastAsia="Arial" w:hAnsi="Arial"/>
          <w:sz w:val="13"/>
          <w:szCs w:val="13"/>
          <w:color w:val="0D0D0D"/>
        </w:rPr>
        <w:t>PU</w:t>
      </w:r>
      <w:r>
        <w:rPr>
          <w:rFonts w:ascii="PMingLiU" w:cs="PMingLiU" w:eastAsia="PMingLiU" w:hAnsi="PMingLiU"/>
          <w:sz w:val="13"/>
          <w:szCs w:val="13"/>
          <w:color w:val="0D0D0D"/>
        </w:rPr>
        <w:t/>
      </w:r>
      <w:r>
        <w:rPr>
          <w:rFonts w:ascii="Arial" w:cs="Arial" w:eastAsia="Arial" w:hAnsi="Arial"/>
          <w:sz w:val="13"/>
          <w:szCs w:val="13"/>
          <w:color w:val="0D0D0D"/>
        </w:rPr>
        <w:t xml:space="preserve"> THYPUL</w:t>
      </w:r>
      <w:r>
        <w:rPr>
          <w:rFonts w:ascii="PMingLiU" w:cs="PMingLiU" w:eastAsia="PMingLiU" w:hAnsi="PMingLiU"/>
          <w:sz w:val="13"/>
          <w:szCs w:val="13"/>
          <w:color w:val="0D0D0D"/>
        </w:rPr>
        <w:t/>
      </w:r>
      <w:r>
        <w:rPr>
          <w:rFonts w:ascii="Arial" w:cs="Arial" w:eastAsia="Arial" w:hAnsi="Arial"/>
          <w:sz w:val="13"/>
          <w:szCs w:val="13"/>
          <w:color w:val="0D0D0D"/>
        </w:rPr>
        <w:t>WV^LY</w:t>
      </w:r>
      <w:r>
        <w:rPr>
          <w:rFonts w:ascii="PMingLiU" w:cs="PMingLiU" w:eastAsia="PMingLiU" w:hAnsi="PMingLiU"/>
          <w:sz w:val="13"/>
          <w:szCs w:val="13"/>
          <w:color w:val="0D0D0D"/>
        </w:rPr>
        <w:t/>
      </w:r>
      <w:r>
        <w:rPr>
          <w:rFonts w:ascii="Arial" w:cs="Arial" w:eastAsia="Arial" w:hAnsi="Arial"/>
          <w:sz w:val="13"/>
          <w:szCs w:val="13"/>
          <w:color w:val="0D0D0D"/>
        </w:rPr>
        <w:t>NLULYH[PVU</w:t>
      </w:r>
      <w:r>
        <w:rPr>
          <w:rFonts w:ascii="PMingLiU" w:cs="PMingLiU" w:eastAsia="PMingLiU" w:hAnsi="PMingLiU"/>
          <w:sz w:val="13"/>
          <w:szCs w:val="13"/>
          <w:color w:val="0D0D0D"/>
        </w:rPr>
        <w:t/>
      </w:r>
      <w:r>
        <w:rPr>
          <w:rFonts w:ascii="Arial" w:cs="Arial" w:eastAsia="Arial" w:hAnsi="Arial"/>
          <w:sz w:val="13"/>
          <w:szCs w:val="13"/>
          <w:color w:val="0D0D0D"/>
        </w:rPr>
        <w:t>HUK</w:t>
      </w:r>
      <w:r>
        <w:rPr>
          <w:rFonts w:ascii="PMingLiU" w:cs="PMingLiU" w:eastAsia="PMingLiU" w:hAnsi="PMingLiU"/>
          <w:sz w:val="13"/>
          <w:szCs w:val="13"/>
          <w:color w:val="0D0D0D"/>
        </w:rPr>
        <w:t/>
      </w:r>
      <w:r>
        <w:rPr>
          <w:rFonts w:ascii="Arial" w:cs="Arial" w:eastAsia="Arial" w:hAnsi="Arial"/>
          <w:sz w:val="13"/>
          <w:szCs w:val="13"/>
          <w:color w:val="0D0D0D"/>
        </w:rPr>
        <w:t>VU</w:t>
      </w:r>
      <w:r>
        <w:rPr>
          <w:rFonts w:ascii="PMingLiU" w:cs="PMingLiU" w:eastAsia="PMingLiU" w:hAnsi="PMingLiU"/>
          <w:sz w:val="13"/>
          <w:szCs w:val="13"/>
          <w:color w:val="0D0D0D"/>
        </w:rPr>
        <w:t/>
      </w:r>
      <w:r>
        <w:rPr>
          <w:rFonts w:ascii="Arial" w:cs="Arial" w:eastAsia="Arial" w:hAnsi="Arial"/>
          <w:sz w:val="13"/>
          <w:szCs w:val="13"/>
          <w:color w:val="0D0D0D"/>
        </w:rPr>
        <w:t>OPNO^H`</w:t>
      </w:r>
      <w:r>
        <w:rPr>
          <w:rFonts w:ascii="PMingLiU" w:cs="PMingLiU" w:eastAsia="PMingLiU" w:hAnsi="PMingLiU"/>
          <w:sz w:val="13"/>
          <w:szCs w:val="13"/>
          <w:color w:val="0D0D0D"/>
        </w:rPr>
        <w:t/>
      </w:r>
      <w:r>
        <w:rPr>
          <w:rFonts w:ascii="Arial" w:cs="Arial" w:eastAsia="Arial" w:hAnsi="Arial"/>
          <w:sz w:val="13"/>
          <w:szCs w:val="13"/>
          <w:color w:val="0D0D0D"/>
        </w:rPr>
        <w:t>HWWSPJH[PVUZ</w:t>
      </w:r>
      <w:r>
        <w:rPr>
          <w:rFonts w:ascii="PMingLiU" w:cs="PMingLiU" w:eastAsia="PMingLiU" w:hAnsi="PMingLiU"/>
          <w:sz w:val="13"/>
          <w:szCs w:val="13"/>
          <w:color w:val="0D0D0D"/>
        </w:rPr>
        <w:t/>
      </w:r>
      <w:r>
        <w:rPr>
          <w:rFonts w:ascii="Arial" w:cs="Arial" w:eastAsia="Arial" w:hAnsi="Arial"/>
          <w:sz w:val="13"/>
          <w:szCs w:val="13"/>
          <w:color w:val="0D0D0D"/>
        </w:rPr>
        <w:t>2PYI`</w:t>
      </w:r>
      <w:r>
        <w:rPr>
          <w:rFonts w:ascii="PMingLiU" w:cs="PMingLiU" w:eastAsia="PMingLiU" w:hAnsi="PMingLiU"/>
          <w:sz w:val="13"/>
          <w:szCs w:val="13"/>
          <w:color w:val="0D0D0D"/>
        </w:rPr>
        <w:t/>
      </w:r>
      <w:r>
        <w:rPr>
          <w:rFonts w:ascii="Arial" w:cs="Arial" w:eastAsia="Arial" w:hAnsi="Arial"/>
          <w:sz w:val="13"/>
          <w:szCs w:val="13"/>
          <w:color w:val="0D0D0D"/>
        </w:rPr>
        <w:t>H ZV</w:t>
      </w:r>
      <w:r>
        <w:rPr>
          <w:rFonts w:ascii="PMingLiU" w:cs="PMingLiU" w:eastAsia="PMingLiU" w:hAnsi="PMingLiU"/>
          <w:sz w:val="13"/>
          <w:szCs w:val="13"/>
          <w:color w:val="0D0D0D"/>
        </w:rPr>
        <w:t/>
      </w:r>
      <w:r>
        <w:rPr>
          <w:rFonts w:ascii="Arial" w:cs="Arial" w:eastAsia="Arial" w:hAnsi="Arial"/>
          <w:sz w:val="13"/>
          <w:szCs w:val="13"/>
          <w:color w:val="0D0D0D"/>
        </w:rPr>
        <w:t>ZLSSZ</w:t>
      </w:r>
      <w:r>
        <w:rPr>
          <w:rFonts w:ascii="PMingLiU" w:cs="PMingLiU" w:eastAsia="PMingLiU" w:hAnsi="PMingLiU"/>
          <w:sz w:val="13"/>
          <w:szCs w:val="13"/>
          <w:color w:val="0D0D0D"/>
        </w:rPr>
        <w:t/>
      </w:r>
      <w:r>
        <w:rPr>
          <w:rFonts w:ascii="Arial" w:cs="Arial" w:eastAsia="Arial" w:hAnsi="Arial"/>
          <w:sz w:val="13"/>
          <w:szCs w:val="13"/>
          <w:color w:val="0D0D0D"/>
        </w:rPr>
        <w:t>LX\PWTLU[</w:t>
      </w:r>
      <w:r>
        <w:rPr>
          <w:rFonts w:ascii="PMingLiU" w:cs="PMingLiU" w:eastAsia="PMingLiU" w:hAnsi="PMingLiU"/>
          <w:sz w:val="13"/>
          <w:szCs w:val="13"/>
          <w:color w:val="0D0D0D"/>
        </w:rPr>
        <w:t/>
      </w:r>
      <w:r>
        <w:rPr>
          <w:rFonts w:ascii="Arial" w:cs="Arial" w:eastAsia="Arial" w:hAnsi="Arial"/>
          <w:sz w:val="13"/>
          <w:szCs w:val="13"/>
          <w:color w:val="0D0D0D"/>
        </w:rPr>
        <w:t>HUK</w:t>
      </w:r>
      <w:r>
        <w:rPr>
          <w:rFonts w:ascii="PMingLiU" w:cs="PMingLiU" w:eastAsia="PMingLiU" w:hAnsi="PMingLiU"/>
          <w:sz w:val="13"/>
          <w:szCs w:val="13"/>
          <w:color w:val="0D0D0D"/>
        </w:rPr>
        <w:t/>
      </w:r>
      <w:r>
        <w:rPr>
          <w:rFonts w:ascii="Arial" w:cs="Arial" w:eastAsia="Arial" w:hAnsi="Arial"/>
          <w:sz w:val="13"/>
          <w:szCs w:val="13"/>
          <w:color w:val="0D0D0D"/>
        </w:rPr>
        <w:t>WHY[Z</w:t>
      </w:r>
      <w:r>
        <w:rPr>
          <w:rFonts w:ascii="PMingLiU" w:cs="PMingLiU" w:eastAsia="PMingLiU" w:hAnsi="PMingLiU"/>
          <w:sz w:val="13"/>
          <w:szCs w:val="13"/>
          <w:color w:val="0D0D0D"/>
        </w:rPr>
        <w:t/>
      </w:r>
      <w:r>
        <w:rPr>
          <w:rFonts w:ascii="Arial" w:cs="Arial" w:eastAsia="Arial" w:hAnsi="Arial"/>
          <w:sz w:val="13"/>
          <w:szCs w:val="13"/>
          <w:color w:val="0D0D0D"/>
        </w:rPr>
        <w:t>PU</w:t>
      </w:r>
      <w:r>
        <w:rPr>
          <w:rFonts w:ascii="PMingLiU" w:cs="PMingLiU" w:eastAsia="PMingLiU" w:hAnsi="PMingLiU"/>
          <w:sz w:val="13"/>
          <w:szCs w:val="13"/>
          <w:color w:val="0D0D0D"/>
        </w:rPr>
        <w:t/>
      </w:r>
      <w:r>
        <w:rPr>
          <w:rFonts w:ascii="Arial" w:cs="Arial" w:eastAsia="Arial" w:hAnsi="Arial"/>
          <w:sz w:val="13"/>
          <w:szCs w:val="13"/>
          <w:color w:val="0D0D0D"/>
        </w:rPr>
        <w:t>[OL</w:t>
      </w:r>
      <w:r>
        <w:rPr>
          <w:rFonts w:ascii="PMingLiU" w:cs="PMingLiU" w:eastAsia="PMingLiU" w:hAnsi="PMingLiU"/>
          <w:sz w:val="13"/>
          <w:szCs w:val="13"/>
          <w:color w:val="0D0D0D"/>
        </w:rPr>
        <w:t/>
      </w:r>
      <w:r>
        <w:rPr>
          <w:rFonts w:ascii="Arial" w:cs="Arial" w:eastAsia="Arial" w:hAnsi="Arial"/>
          <w:sz w:val="13"/>
          <w:szCs w:val="13"/>
          <w:color w:val="0D0D0D"/>
        </w:rPr>
        <w:t>V</w:t>
      </w:r>
      <w:r>
        <w:rPr>
          <w:rFonts w:ascii="Arial" w:cs="Arial" w:eastAsia="Arial" w:hAnsi="Arial"/>
          <w:sz w:val="13"/>
          <w:szCs w:val="13"/>
          <w:color w:val="0D0D0D"/>
        </w:rPr>
        <w:t>ќ</w:t>
      </w:r>
      <w:r>
        <w:rPr>
          <w:rFonts w:ascii="PMingLiU" w:cs="PMingLiU" w:eastAsia="PMingLiU" w:hAnsi="PMingLiU"/>
          <w:sz w:val="13"/>
          <w:szCs w:val="13"/>
          <w:color w:val="0D0D0D"/>
        </w:rPr>
        <w:t/>
      </w:r>
      <w:r>
        <w:rPr>
          <w:rFonts w:ascii="Arial" w:cs="Arial" w:eastAsia="Arial" w:hAnsi="Arial"/>
          <w:sz w:val="13"/>
          <w:szCs w:val="13"/>
          <w:color w:val="0D0D0D"/>
        </w:rPr>
        <w:t>OPNO^H`</w:t>
      </w:r>
      <w:r>
        <w:rPr>
          <w:rFonts w:ascii="PMingLiU" w:cs="PMingLiU" w:eastAsia="PMingLiU" w:hAnsi="PMingLiU"/>
          <w:sz w:val="13"/>
          <w:szCs w:val="13"/>
          <w:color w:val="0D0D0D"/>
        </w:rPr>
        <w:t/>
      </w:r>
      <w:r>
        <w:rPr>
          <w:rFonts w:ascii="Arial" w:cs="Arial" w:eastAsia="Arial" w:hAnsi="Arial"/>
          <w:sz w:val="13"/>
          <w:szCs w:val="13"/>
          <w:color w:val="0D0D0D"/>
        </w:rPr>
        <w:t>THYRL[</w:t>
      </w:r>
      <w:r>
        <w:rPr>
          <w:rFonts w:ascii="PMingLiU" w:cs="PMingLiU" w:eastAsia="PMingLiU" w:hAnsi="PMingLiU"/>
          <w:sz w:val="13"/>
          <w:szCs w:val="13"/>
          <w:color w:val="0D0D0D"/>
        </w:rPr>
        <w:t/>
      </w:r>
      <w:r>
        <w:rPr>
          <w:rFonts w:ascii="Arial" w:cs="Arial" w:eastAsia="Arial" w:hAnsi="Arial"/>
          <w:sz w:val="13"/>
          <w:szCs w:val="13"/>
          <w:color w:val="0D0D0D"/>
        </w:rPr>
        <w:t>THU\MHJ[\YLZ</w:t>
      </w:r>
      <w:r>
        <w:rPr>
          <w:rFonts w:ascii="PMingLiU" w:cs="PMingLiU" w:eastAsia="PMingLiU" w:hAnsi="PMingLiU"/>
          <w:sz w:val="13"/>
          <w:szCs w:val="13"/>
          <w:color w:val="0D0D0D"/>
        </w:rPr>
        <w:t/>
      </w:r>
      <w:r>
        <w:rPr>
          <w:rFonts w:ascii="Arial" w:cs="Arial" w:eastAsia="Arial" w:hAnsi="Arial"/>
          <w:sz w:val="13"/>
          <w:szCs w:val="13"/>
          <w:color w:val="0D0D0D"/>
        </w:rPr>
        <w:t>HUK</w:t>
      </w:r>
      <w:r>
        <w:rPr>
          <w:rFonts w:ascii="PMingLiU" w:cs="PMingLiU" w:eastAsia="PMingLiU" w:hAnsi="PMingLiU"/>
          <w:sz w:val="13"/>
          <w:szCs w:val="13"/>
          <w:color w:val="0D0D0D"/>
        </w:rPr>
        <w:t/>
      </w:r>
      <w:r>
        <w:rPr>
          <w:rFonts w:ascii="Arial" w:cs="Arial" w:eastAsia="Arial" w:hAnsi="Arial"/>
          <w:sz w:val="13"/>
          <w:szCs w:val="13"/>
          <w:color w:val="0D0D0D"/>
        </w:rPr>
        <w:t xml:space="preserve"> sells railcar movers, and rents high-capacity lift trucks, industrial compressors, and refrigerated trailers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1E58"/>
        </w:rPr>
        <w:t>MARINE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-117475</wp:posOffset>
            </wp:positionV>
            <wp:extent cx="4567555" cy="3547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4567555" cy="354774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0D0D0D"/>
        </w:rPr>
        <w:t>In marine, Kirby is a major original engine manufacturer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(“OEM”) distributor and service provider for diesel</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engines, ancillary products, and parts with locations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across the United States. Kirby’s marine engine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businesses participate in many sectors of the marine</w:t>
      </w:r>
    </w:p>
    <w:p>
      <w:pPr>
        <w:spacing w:after="0" w:line="71" w:lineRule="exact"/>
        <w:rPr>
          <w:sz w:val="20"/>
          <w:szCs w:val="20"/>
          <w:color w:val="auto"/>
        </w:rPr>
      </w:pPr>
    </w:p>
    <w:p>
      <w:pPr>
        <w:spacing w:after="0" w:line="194" w:lineRule="exact"/>
        <w:rPr>
          <w:sz w:val="20"/>
          <w:szCs w:val="20"/>
          <w:color w:val="auto"/>
        </w:rPr>
      </w:pPr>
      <w:r>
        <w:rPr>
          <w:rFonts w:ascii="Arial" w:cs="Arial" w:eastAsia="Arial" w:hAnsi="Arial"/>
          <w:sz w:val="16"/>
          <w:szCs w:val="16"/>
          <w:color w:val="0D0D0D"/>
        </w:rPr>
        <w:t>]LZZLS</w:t>
      </w:r>
      <w:r>
        <w:rPr>
          <w:rFonts w:ascii="PMingLiU" w:cs="PMingLiU" w:eastAsia="PMingLiU" w:hAnsi="PMingLiU"/>
          <w:sz w:val="16"/>
          <w:szCs w:val="16"/>
          <w:color w:val="0D0D0D"/>
        </w:rPr>
        <w:t/>
      </w:r>
      <w:r>
        <w:rPr>
          <w:rFonts w:ascii="Arial" w:cs="Arial" w:eastAsia="Arial" w:hAnsi="Arial"/>
          <w:sz w:val="16"/>
          <w:szCs w:val="16"/>
          <w:color w:val="0D0D0D"/>
        </w:rPr>
        <w:t>PUK\Z[Y`</w:t>
      </w:r>
      <w:r>
        <w:rPr>
          <w:rFonts w:ascii="PMingLiU" w:cs="PMingLiU" w:eastAsia="PMingLiU" w:hAnsi="PMingLiU"/>
          <w:sz w:val="16"/>
          <w:szCs w:val="16"/>
          <w:color w:val="0D0D0D"/>
        </w:rPr>
        <w:t/>
      </w:r>
      <w:r>
        <w:rPr>
          <w:rFonts w:ascii="Arial" w:cs="Arial" w:eastAsia="Arial" w:hAnsi="Arial"/>
          <w:sz w:val="16"/>
          <w:szCs w:val="16"/>
          <w:color w:val="0D0D0D"/>
        </w:rPr>
        <w:t>PUJS\KPUN</w:t>
      </w:r>
      <w:r>
        <w:rPr>
          <w:rFonts w:ascii="PMingLiU" w:cs="PMingLiU" w:eastAsia="PMingLiU" w:hAnsi="PMingLiU"/>
          <w:sz w:val="16"/>
          <w:szCs w:val="16"/>
          <w:color w:val="0D0D0D"/>
        </w:rPr>
        <w:t/>
      </w:r>
      <w:r>
        <w:rPr>
          <w:rFonts w:ascii="Arial" w:cs="Arial" w:eastAsia="Arial" w:hAnsi="Arial"/>
          <w:sz w:val="16"/>
          <w:szCs w:val="16"/>
          <w:color w:val="0D0D0D"/>
        </w:rPr>
        <w:t>PUSHUK</w:t>
      </w:r>
      <w:r>
        <w:rPr>
          <w:rFonts w:ascii="PMingLiU" w:cs="PMingLiU" w:eastAsia="PMingLiU" w:hAnsi="PMingLiU"/>
          <w:sz w:val="16"/>
          <w:szCs w:val="16"/>
          <w:color w:val="0D0D0D"/>
        </w:rPr>
        <w:t/>
      </w:r>
      <w:r>
        <w:rPr>
          <w:rFonts w:ascii="Arial" w:cs="Arial" w:eastAsia="Arial" w:hAnsi="Arial"/>
          <w:sz w:val="16"/>
          <w:szCs w:val="16"/>
          <w:color w:val="0D0D0D"/>
        </w:rPr>
        <w:t>[V^IVH[Z</w:t>
      </w:r>
      <w:r>
        <w:rPr>
          <w:rFonts w:ascii="PMingLiU" w:cs="PMingLiU" w:eastAsia="PMingLiU" w:hAnsi="PMingLiU"/>
          <w:sz w:val="16"/>
          <w:szCs w:val="16"/>
          <w:color w:val="0D0D0D"/>
        </w:rPr>
        <w:t/>
      </w:r>
      <w:r>
        <w:rPr>
          <w:rFonts w:ascii="Arial" w:cs="Arial" w:eastAsia="Arial" w:hAnsi="Arial"/>
          <w:sz w:val="16"/>
          <w:szCs w:val="16"/>
          <w:color w:val="0D0D0D"/>
        </w:rPr>
        <w:t>HUK</w:t>
      </w:r>
      <w:r>
        <w:rPr>
          <w:rFonts w:ascii="PMingLiU" w:cs="PMingLiU" w:eastAsia="PMingLiU" w:hAnsi="PMingLiU"/>
          <w:sz w:val="16"/>
          <w:szCs w:val="16"/>
          <w:color w:val="0D0D0D"/>
        </w:rPr>
        <w:t/>
      </w:r>
      <w:r>
        <w:rPr>
          <w:rFonts w:ascii="Arial" w:cs="Arial" w:eastAsia="Arial" w:hAnsi="Arial"/>
          <w:sz w:val="16"/>
          <w:szCs w:val="16"/>
          <w:color w:val="0D0D0D"/>
        </w:rPr>
        <w:t>V</w:t>
      </w:r>
      <w:r>
        <w:rPr>
          <w:rFonts w:ascii="Arial" w:cs="Arial" w:eastAsia="Arial" w:hAnsi="Arial"/>
          <w:sz w:val="16"/>
          <w:szCs w:val="16"/>
          <w:color w:val="0D0D0D"/>
        </w:rPr>
        <w:t>ќ</w:t>
      </w:r>
      <w:r>
        <w:rPr>
          <w:rFonts w:ascii="Arial" w:cs="Arial" w:eastAsia="Arial" w:hAnsi="Arial"/>
          <w:sz w:val="16"/>
          <w:szCs w:val="16"/>
          <w:color w:val="0D0D0D"/>
        </w:rPr>
        <w:t>ZOVYL</w:t>
      </w:r>
    </w:p>
    <w:p>
      <w:pPr>
        <w:spacing w:after="0" w:line="66" w:lineRule="exact"/>
        <w:rPr>
          <w:sz w:val="20"/>
          <w:szCs w:val="20"/>
          <w:color w:val="auto"/>
        </w:rPr>
      </w:pPr>
    </w:p>
    <w:p>
      <w:pPr>
        <w:spacing w:after="0" w:line="194" w:lineRule="exact"/>
        <w:rPr>
          <w:sz w:val="20"/>
          <w:szCs w:val="20"/>
          <w:color w:val="auto"/>
        </w:rPr>
      </w:pPr>
      <w:r>
        <w:rPr>
          <w:rFonts w:ascii="Arial" w:cs="Arial" w:eastAsia="Arial" w:hAnsi="Arial"/>
          <w:sz w:val="16"/>
          <w:szCs w:val="16"/>
          <w:color w:val="0D0D0D"/>
        </w:rPr>
        <w:t>[\NIVH[Z</w:t>
      </w:r>
      <w:r>
        <w:rPr>
          <w:rFonts w:ascii="PMingLiU" w:cs="PMingLiU" w:eastAsia="PMingLiU" w:hAnsi="PMingLiU"/>
          <w:sz w:val="16"/>
          <w:szCs w:val="16"/>
          <w:color w:val="0D0D0D"/>
        </w:rPr>
        <w:t/>
      </w:r>
      <w:r>
        <w:rPr>
          <w:rFonts w:ascii="Arial" w:cs="Arial" w:eastAsia="Arial" w:hAnsi="Arial"/>
          <w:sz w:val="16"/>
          <w:szCs w:val="16"/>
          <w:color w:val="0D0D0D"/>
        </w:rPr>
        <w:t>VPSÄLSK</w:t>
      </w:r>
      <w:r>
        <w:rPr>
          <w:rFonts w:ascii="PMingLiU" w:cs="PMingLiU" w:eastAsia="PMingLiU" w:hAnsi="PMingLiU"/>
          <w:sz w:val="16"/>
          <w:szCs w:val="16"/>
          <w:color w:val="0D0D0D"/>
        </w:rPr>
        <w:t/>
      </w:r>
      <w:r>
        <w:rPr>
          <w:rFonts w:ascii="Arial" w:cs="Arial" w:eastAsia="Arial" w:hAnsi="Arial"/>
          <w:sz w:val="16"/>
          <w:szCs w:val="16"/>
          <w:color w:val="0D0D0D"/>
        </w:rPr>
        <w:t>Z\WWS`</w:t>
      </w:r>
      <w:r>
        <w:rPr>
          <w:rFonts w:ascii="PMingLiU" w:cs="PMingLiU" w:eastAsia="PMingLiU" w:hAnsi="PMingLiU"/>
          <w:sz w:val="16"/>
          <w:szCs w:val="16"/>
          <w:color w:val="0D0D0D"/>
        </w:rPr>
        <w:t/>
      </w:r>
      <w:r>
        <w:rPr>
          <w:rFonts w:ascii="Arial" w:cs="Arial" w:eastAsia="Arial" w:hAnsi="Arial"/>
          <w:sz w:val="16"/>
          <w:szCs w:val="16"/>
          <w:color w:val="0D0D0D"/>
        </w:rPr>
        <w:t>]LZZLSZ</w:t>
      </w:r>
      <w:r>
        <w:rPr>
          <w:rFonts w:ascii="PMingLiU" w:cs="PMingLiU" w:eastAsia="PMingLiU" w:hAnsi="PMingLiU"/>
          <w:sz w:val="16"/>
          <w:szCs w:val="16"/>
          <w:color w:val="0D0D0D"/>
        </w:rPr>
        <w:t/>
      </w:r>
      <w:r>
        <w:rPr>
          <w:rFonts w:ascii="Arial" w:cs="Arial" w:eastAsia="Arial" w:hAnsi="Arial"/>
          <w:sz w:val="16"/>
          <w:szCs w:val="16"/>
          <w:color w:val="0D0D0D"/>
        </w:rPr>
        <w:t>&lt;</w:t>
      </w:r>
      <w:r>
        <w:rPr>
          <w:rFonts w:ascii="PMingLiU" w:cs="PMingLiU" w:eastAsia="PMingLiU" w:hAnsi="PMingLiU"/>
          <w:sz w:val="16"/>
          <w:szCs w:val="16"/>
          <w:color w:val="0D0D0D"/>
        </w:rPr>
        <w:t/>
      </w:r>
      <w:r>
        <w:rPr>
          <w:rFonts w:ascii="Arial" w:cs="Arial" w:eastAsia="Arial" w:hAnsi="Arial"/>
          <w:sz w:val="16"/>
          <w:szCs w:val="16"/>
          <w:color w:val="0D0D0D"/>
        </w:rPr>
        <w:t>:</w:t>
      </w:r>
      <w:r>
        <w:rPr>
          <w:rFonts w:ascii="PMingLiU" w:cs="PMingLiU" w:eastAsia="PMingLiU" w:hAnsi="PMingLiU"/>
          <w:sz w:val="16"/>
          <w:szCs w:val="16"/>
          <w:color w:val="0D0D0D"/>
        </w:rPr>
        <w:t/>
      </w:r>
      <w:r>
        <w:rPr>
          <w:rFonts w:ascii="Arial" w:cs="Arial" w:eastAsia="Arial" w:hAnsi="Arial"/>
          <w:sz w:val="16"/>
          <w:szCs w:val="16"/>
          <w:color w:val="0D0D0D"/>
        </w:rPr>
        <w:t>*VHZ[</w:t>
      </w:r>
      <w:r>
        <w:rPr>
          <w:rFonts w:ascii="PMingLiU" w:cs="PMingLiU" w:eastAsia="PMingLiU" w:hAnsi="PMingLiU"/>
          <w:sz w:val="16"/>
          <w:szCs w:val="16"/>
          <w:color w:val="0D0D0D"/>
        </w:rPr>
        <w:t/>
      </w:r>
      <w:r>
        <w:rPr>
          <w:rFonts w:ascii="Arial" w:cs="Arial" w:eastAsia="Arial" w:hAnsi="Arial"/>
          <w:sz w:val="16"/>
          <w:szCs w:val="16"/>
          <w:color w:val="0D0D0D"/>
        </w:rPr>
        <w:t>.\HYK</w:t>
      </w:r>
    </w:p>
    <w:p>
      <w:pPr>
        <w:spacing w:after="0" w:line="66" w:lineRule="exact"/>
        <w:rPr>
          <w:sz w:val="20"/>
          <w:szCs w:val="20"/>
          <w:color w:val="auto"/>
        </w:rPr>
      </w:pPr>
    </w:p>
    <w:p>
      <w:pPr>
        <w:spacing w:after="0" w:line="194" w:lineRule="exact"/>
        <w:rPr>
          <w:sz w:val="20"/>
          <w:szCs w:val="20"/>
          <w:color w:val="auto"/>
        </w:rPr>
      </w:pPr>
      <w:r>
        <w:rPr>
          <w:rFonts w:ascii="Arial" w:cs="Arial" w:eastAsia="Arial" w:hAnsi="Arial"/>
          <w:sz w:val="16"/>
          <w:szCs w:val="16"/>
          <w:color w:val="0D0D0D"/>
        </w:rPr>
        <w:t>]LZZLSZ</w:t>
      </w:r>
      <w:r>
        <w:rPr>
          <w:rFonts w:ascii="PMingLiU" w:cs="PMingLiU" w:eastAsia="PMingLiU" w:hAnsi="PMingLiU"/>
          <w:sz w:val="16"/>
          <w:szCs w:val="16"/>
          <w:color w:val="0D0D0D"/>
        </w:rPr>
        <w:t/>
      </w:r>
      <w:r>
        <w:rPr>
          <w:rFonts w:ascii="Arial" w:cs="Arial" w:eastAsia="Arial" w:hAnsi="Arial"/>
          <w:sz w:val="16"/>
          <w:szCs w:val="16"/>
          <w:color w:val="0D0D0D"/>
        </w:rPr>
        <w:t>ÄZOPUN</w:t>
      </w:r>
      <w:r>
        <w:rPr>
          <w:rFonts w:ascii="PMingLiU" w:cs="PMingLiU" w:eastAsia="PMingLiU" w:hAnsi="PMingLiU"/>
          <w:sz w:val="16"/>
          <w:szCs w:val="16"/>
          <w:color w:val="0D0D0D"/>
        </w:rPr>
        <w:t/>
      </w:r>
      <w:r>
        <w:rPr>
          <w:rFonts w:ascii="Arial" w:cs="Arial" w:eastAsia="Arial" w:hAnsi="Arial"/>
          <w:sz w:val="16"/>
          <w:szCs w:val="16"/>
          <w:color w:val="0D0D0D"/>
        </w:rPr>
        <w:t>]LZZLSZ</w:t>
      </w:r>
      <w:r>
        <w:rPr>
          <w:rFonts w:ascii="PMingLiU" w:cs="PMingLiU" w:eastAsia="PMingLiU" w:hAnsi="PMingLiU"/>
          <w:sz w:val="16"/>
          <w:szCs w:val="16"/>
          <w:color w:val="0D0D0D"/>
        </w:rPr>
        <w:t/>
      </w:r>
      <w:r>
        <w:rPr>
          <w:rFonts w:ascii="Arial" w:cs="Arial" w:eastAsia="Arial" w:hAnsi="Arial"/>
          <w:sz w:val="16"/>
          <w:szCs w:val="16"/>
          <w:color w:val="0D0D0D"/>
        </w:rPr>
        <w:t>OHYIVY</w:t>
      </w:r>
      <w:r>
        <w:rPr>
          <w:rFonts w:ascii="PMingLiU" w:cs="PMingLiU" w:eastAsia="PMingLiU" w:hAnsi="PMingLiU"/>
          <w:sz w:val="16"/>
          <w:szCs w:val="16"/>
          <w:color w:val="0D0D0D"/>
        </w:rPr>
        <w:t/>
      </w:r>
      <w:r>
        <w:rPr>
          <w:rFonts w:ascii="Arial" w:cs="Arial" w:eastAsia="Arial" w:hAnsi="Arial"/>
          <w:sz w:val="16"/>
          <w:szCs w:val="16"/>
          <w:color w:val="0D0D0D"/>
        </w:rPr>
        <w:t>KVJRPUN</w:t>
      </w:r>
      <w:r>
        <w:rPr>
          <w:rFonts w:ascii="PMingLiU" w:cs="PMingLiU" w:eastAsia="PMingLiU" w:hAnsi="PMingLiU"/>
          <w:sz w:val="16"/>
          <w:szCs w:val="16"/>
          <w:color w:val="0D0D0D"/>
        </w:rPr>
        <w:t/>
      </w:r>
      <w:r>
        <w:rPr>
          <w:rFonts w:ascii="Arial" w:cs="Arial" w:eastAsia="Arial" w:hAnsi="Arial"/>
          <w:sz w:val="16"/>
          <w:szCs w:val="16"/>
          <w:color w:val="0D0D0D"/>
        </w:rPr>
        <w:t>LX\PWTLU[</w:t>
      </w:r>
      <w:r>
        <w:rPr>
          <w:rFonts w:ascii="PMingLiU" w:cs="PMingLiU" w:eastAsia="PMingLiU" w:hAnsi="PMingLiU"/>
          <w:sz w:val="16"/>
          <w:szCs w:val="16"/>
          <w:color w:val="0D0D0D"/>
        </w:rPr>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D0D0D"/>
        </w:rPr>
        <w:t>ferries, and luxury yachts. Marine distributorships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include EMD throughout the United States, as well as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MTU, Volvo Penta, and Alfa Laval in various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geographies. Kirby also operates factory-authorized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dealerships for Caterpillar, Cummins, and John Deere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D0D0D"/>
        </w:rPr>
        <w:t>commercial marine diesel engines.</w:t>
      </w:r>
    </w:p>
    <w:p>
      <w:pPr>
        <w:spacing w:after="0" w:line="198" w:lineRule="exact"/>
        <w:rPr>
          <w:sz w:val="20"/>
          <w:szCs w:val="20"/>
          <w:color w:val="auto"/>
        </w:rPr>
      </w:pPr>
    </w:p>
    <w:p>
      <w:pPr>
        <w:ind w:right="6320"/>
        <w:spacing w:after="0" w:line="402" w:lineRule="auto"/>
        <w:rPr>
          <w:sz w:val="20"/>
          <w:szCs w:val="20"/>
          <w:color w:val="auto"/>
        </w:rPr>
      </w:pPr>
      <w:r>
        <w:rPr>
          <w:rFonts w:ascii="Arial" w:cs="Arial" w:eastAsia="Arial" w:hAnsi="Arial"/>
          <w:sz w:val="16"/>
          <w:szCs w:val="16"/>
          <w:b w:val="1"/>
          <w:bCs w:val="1"/>
          <w:color w:val="00712E"/>
        </w:rPr>
        <w:t>OEM Brands: MTU, EMD, Volvo Penta, Alfa Laval, CAT, Cummins, and John Deere.</w:t>
      </w:r>
    </w:p>
    <w:p>
      <w:pPr>
        <w:spacing w:after="0" w:line="166" w:lineRule="exact"/>
        <w:rPr>
          <w:sz w:val="20"/>
          <w:szCs w:val="20"/>
          <w:color w:val="auto"/>
        </w:rPr>
      </w:pPr>
    </w:p>
    <w:p>
      <w:pPr>
        <w:ind w:right="6320"/>
        <w:spacing w:after="0" w:line="161" w:lineRule="exact"/>
        <w:rPr>
          <w:sz w:val="20"/>
          <w:szCs w:val="20"/>
          <w:color w:val="auto"/>
        </w:rPr>
      </w:pPr>
      <w:r>
        <w:rPr>
          <w:rFonts w:ascii="Arial" w:cs="Arial" w:eastAsia="Arial" w:hAnsi="Arial"/>
          <w:sz w:val="13"/>
          <w:szCs w:val="13"/>
          <w:i w:val="1"/>
          <w:iCs w:val="1"/>
          <w:color w:val="00712E"/>
        </w:rPr>
        <w:t>An installation of a pair of MTU 16V2000M96 Marine ,UNPULZ</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YH[LK</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H[</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/7</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LHJO</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PU</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H</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*\Z[VT</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:WVY[ÄZO</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I\PS[</w:t>
      </w:r>
      <w:r>
        <w:rPr>
          <w:rFonts w:ascii="PMingLiU" w:cs="PMingLiU" w:eastAsia="PMingLiU" w:hAnsi="PMingLiU"/>
          <w:sz w:val="13"/>
          <w:szCs w:val="13"/>
          <w:i w:val="1"/>
          <w:iCs w:val="1"/>
          <w:color w:val="00712E"/>
        </w:rPr>
        <w:t/>
      </w:r>
      <w:r>
        <w:rPr>
          <w:rFonts w:ascii="Arial" w:cs="Arial" w:eastAsia="Arial" w:hAnsi="Arial"/>
          <w:sz w:val="13"/>
          <w:szCs w:val="13"/>
          <w:i w:val="1"/>
          <w:iCs w:val="1"/>
          <w:color w:val="00712E"/>
        </w:rPr>
        <w:t xml:space="preserve"> by Jim Smith Tournament Boats out of Stuart, FL.</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001E58"/>
        </w:rPr>
        <w:t>ON-HIGHWAY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-117475</wp:posOffset>
            </wp:positionV>
            <wp:extent cx="4567555" cy="3885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extLst>
                    </a:blip>
                    <a:srcRect/>
                    <a:stretch>
                      <a:fillRect/>
                    </a:stretch>
                  </pic:blipFill>
                  <pic:spPr bwMode="auto">
                    <a:xfrm>
                      <a:off x="0" y="0"/>
                      <a:ext cx="4567555" cy="3885565"/>
                    </a:xfrm>
                    <a:prstGeom prst="rect">
                      <a:avLst/>
                    </a:prstGeom>
                    <a:noFill/>
                  </pic:spPr>
                </pic:pic>
              </a:graphicData>
            </a:graphic>
          </wp:anchor>
        </w:drawing>
      </w:r>
    </w:p>
    <w:p>
      <w:pPr>
        <w:spacing w:after="0" w:line="344" w:lineRule="exact"/>
        <w:rPr>
          <w:sz w:val="20"/>
          <w:szCs w:val="20"/>
          <w:color w:val="auto"/>
        </w:rPr>
      </w:pPr>
    </w:p>
    <w:p>
      <w:pPr>
        <w:ind w:right="6360"/>
        <w:spacing w:after="0" w:line="251" w:lineRule="exact"/>
        <w:rPr>
          <w:sz w:val="20"/>
          <w:szCs w:val="20"/>
          <w:color w:val="auto"/>
        </w:rPr>
      </w:pPr>
      <w:r>
        <w:rPr>
          <w:rFonts w:ascii="Arial" w:cs="Arial" w:eastAsia="Arial" w:hAnsi="Arial"/>
          <w:sz w:val="16"/>
          <w:szCs w:val="16"/>
          <w:color w:val="0D0D0D"/>
        </w:rPr>
        <w:t>In on-highway, Kirby distributes, sells parts, and services diesel engines and transmissions for [Y\JRPUN</w:t>
      </w:r>
      <w:r>
        <w:rPr>
          <w:rFonts w:ascii="PMingLiU" w:cs="PMingLiU" w:eastAsia="PMingLiU" w:hAnsi="PMingLiU"/>
          <w:sz w:val="16"/>
          <w:szCs w:val="16"/>
          <w:color w:val="0D0D0D"/>
        </w:rPr>
        <w:t/>
      </w:r>
      <w:r>
        <w:rPr>
          <w:rFonts w:ascii="Arial" w:cs="Arial" w:eastAsia="Arial" w:hAnsi="Arial"/>
          <w:sz w:val="16"/>
          <w:szCs w:val="16"/>
          <w:color w:val="0D0D0D"/>
        </w:rPr>
        <w:t>JVTWHUPLZ</w:t>
      </w:r>
      <w:r>
        <w:rPr>
          <w:rFonts w:ascii="PMingLiU" w:cs="PMingLiU" w:eastAsia="PMingLiU" w:hAnsi="PMingLiU"/>
          <w:sz w:val="16"/>
          <w:szCs w:val="16"/>
          <w:color w:val="0D0D0D"/>
        </w:rPr>
        <w:t/>
      </w:r>
      <w:r>
        <w:rPr>
          <w:rFonts w:ascii="Arial" w:cs="Arial" w:eastAsia="Arial" w:hAnsi="Arial"/>
          <w:sz w:val="16"/>
          <w:szCs w:val="16"/>
          <w:color w:val="0D0D0D"/>
        </w:rPr>
        <w:t>JVTTLYJPHS</w:t>
      </w:r>
      <w:r>
        <w:rPr>
          <w:rFonts w:ascii="PMingLiU" w:cs="PMingLiU" w:eastAsia="PMingLiU" w:hAnsi="PMingLiU"/>
          <w:sz w:val="16"/>
          <w:szCs w:val="16"/>
          <w:color w:val="0D0D0D"/>
        </w:rPr>
        <w:t/>
      </w:r>
      <w:r>
        <w:rPr>
          <w:rFonts w:ascii="Arial" w:cs="Arial" w:eastAsia="Arial" w:hAnsi="Arial"/>
          <w:sz w:val="16"/>
          <w:szCs w:val="16"/>
          <w:color w:val="0D0D0D"/>
        </w:rPr>
        <w:t>[Y\JR</w:t>
      </w:r>
      <w:r>
        <w:rPr>
          <w:rFonts w:ascii="PMingLiU" w:cs="PMingLiU" w:eastAsia="PMingLiU" w:hAnsi="PMingLiU"/>
          <w:sz w:val="16"/>
          <w:szCs w:val="16"/>
          <w:color w:val="0D0D0D"/>
        </w:rPr>
        <w:t/>
      </w:r>
      <w:r>
        <w:rPr>
          <w:rFonts w:ascii="Arial" w:cs="Arial" w:eastAsia="Arial" w:hAnsi="Arial"/>
          <w:sz w:val="16"/>
          <w:szCs w:val="16"/>
          <w:color w:val="0D0D0D"/>
        </w:rPr>
        <w:t>ÅLL[Z</w:t>
      </w:r>
      <w:r>
        <w:rPr>
          <w:rFonts w:ascii="PMingLiU" w:cs="PMingLiU" w:eastAsia="PMingLiU" w:hAnsi="PMingLiU"/>
          <w:sz w:val="16"/>
          <w:szCs w:val="16"/>
          <w:color w:val="0D0D0D"/>
        </w:rPr>
        <w:t/>
      </w:r>
      <w:r>
        <w:rPr>
          <w:rFonts w:ascii="Arial" w:cs="Arial" w:eastAsia="Arial" w:hAnsi="Arial"/>
          <w:sz w:val="16"/>
          <w:szCs w:val="16"/>
          <w:color w:val="0D0D0D"/>
        </w:rPr>
        <w:t xml:space="preserve"> municipalities, and oil and gas operators in the United States. Additionally, Kirby is the distributor and service provider for Thermo King transport refrigeration systems in major markets in Texas and Colorado</w:t>
      </w:r>
    </w:p>
    <w:p>
      <w:pPr>
        <w:spacing w:after="0" w:line="196" w:lineRule="exact"/>
        <w:rPr>
          <w:sz w:val="20"/>
          <w:szCs w:val="20"/>
          <w:color w:val="auto"/>
        </w:rPr>
      </w:pPr>
    </w:p>
    <w:p>
      <w:pPr>
        <w:ind w:right="7320"/>
        <w:spacing w:after="0" w:line="442" w:lineRule="auto"/>
        <w:rPr>
          <w:sz w:val="20"/>
          <w:szCs w:val="20"/>
          <w:color w:val="auto"/>
        </w:rPr>
      </w:pPr>
      <w:r>
        <w:rPr>
          <w:rFonts w:ascii="Arial" w:cs="Arial" w:eastAsia="Arial" w:hAnsi="Arial"/>
          <w:sz w:val="15"/>
          <w:szCs w:val="15"/>
          <w:b w:val="1"/>
          <w:bCs w:val="1"/>
          <w:color w:val="00712E"/>
        </w:rPr>
        <w:t>OEM Brands: Allison Transmission, Detroit Diesel, and Thermo King.</w:t>
      </w:r>
    </w:p>
    <w:p>
      <w:pPr>
        <w:spacing w:after="0" w:line="147" w:lineRule="exact"/>
        <w:rPr>
          <w:sz w:val="20"/>
          <w:szCs w:val="20"/>
          <w:color w:val="auto"/>
        </w:rPr>
      </w:pPr>
    </w:p>
    <w:p>
      <w:pPr>
        <w:ind w:right="6780"/>
        <w:spacing w:after="0"/>
        <w:rPr>
          <w:sz w:val="20"/>
          <w:szCs w:val="20"/>
          <w:color w:val="auto"/>
        </w:rPr>
      </w:pPr>
      <w:r>
        <w:rPr>
          <w:rFonts w:ascii="Arial" w:cs="Arial" w:eastAsia="Arial" w:hAnsi="Arial"/>
          <w:sz w:val="14"/>
          <w:szCs w:val="14"/>
          <w:i w:val="1"/>
          <w:iCs w:val="1"/>
          <w:color w:val="00712E"/>
        </w:rPr>
        <w:t>United Engines technician rebuilding a transmission for a school bus.</w:t>
      </w:r>
    </w:p>
    <w:p>
      <w:pPr>
        <w:sectPr>
          <w:pgSz w:w="12240" w:h="15840" w:orient="portrait"/>
          <w:cols w:equalWidth="0" w:num="1">
            <w:col w:w="9980"/>
          </w:cols>
          <w:pgMar w:left="820" w:top="84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560" w:val="left"/>
          <w:tab w:leader="none" w:pos="1640" w:val="left"/>
        </w:tabs>
        <w:rPr>
          <w:sz w:val="20"/>
          <w:szCs w:val="20"/>
          <w:color w:val="auto"/>
        </w:rPr>
      </w:pPr>
      <w:r>
        <w:rPr>
          <w:rFonts w:ascii="Arial" w:cs="Arial" w:eastAsia="Arial" w:hAnsi="Arial"/>
          <w:sz w:val="16"/>
          <w:szCs w:val="16"/>
          <w:color w:val="00712E"/>
        </w:rPr>
        <w:t>8</w:t>
      </w:r>
      <w:r>
        <w:rPr>
          <w:sz w:val="20"/>
          <w:szCs w:val="20"/>
          <w:color w:val="auto"/>
        </w:rPr>
        <w:tab/>
      </w:r>
      <w:r>
        <w:rPr>
          <w:rFonts w:ascii="Arial" w:cs="Arial" w:eastAsia="Arial" w:hAnsi="Arial"/>
          <w:sz w:val="12"/>
          <w:szCs w:val="12"/>
          <w:color w:val="4C4C4C"/>
        </w:rPr>
        <w:t>2025 Annual Report</w:t>
      </w:r>
      <w:r>
        <w:rPr>
          <w:sz w:val="20"/>
          <w:szCs w:val="20"/>
          <w:color w:val="auto"/>
        </w:rPr>
        <w:tab/>
      </w:r>
      <w:r>
        <w:rPr>
          <w:rFonts w:ascii="Arial" w:cs="Arial" w:eastAsia="Arial" w:hAnsi="Arial"/>
          <w:sz w:val="10"/>
          <w:szCs w:val="10"/>
          <w:b w:val="1"/>
          <w:bCs w:val="1"/>
          <w:color w:val="00712E"/>
        </w:rPr>
        <w:t>Kirby Corporation</w:t>
      </w:r>
    </w:p>
    <w:p>
      <w:pPr>
        <w:sectPr>
          <w:pgSz w:w="12240" w:h="15840" w:orient="portrait"/>
          <w:cols w:equalWidth="0" w:num="1">
            <w:col w:w="9980"/>
          </w:cols>
          <w:pgMar w:left="820" w:top="848" w:right="1440" w:bottom="0" w:gutter="0" w:footer="0" w:header="0"/>
          <w:type w:val="continuous"/>
        </w:sectPr>
      </w:pPr>
    </w:p>
    <w:bookmarkStart w:id="10" w:name="page11"/>
    <w:bookmarkEnd w:id="10"/>
    <w:p>
      <w:pPr>
        <w:spacing w:after="0" w:line="28" w:lineRule="exact"/>
        <w:rPr>
          <w:sz w:val="20"/>
          <w:szCs w:val="20"/>
          <w:color w:val="auto"/>
        </w:rPr>
      </w:pPr>
    </w:p>
    <w:p>
      <w:pPr>
        <w:ind w:left="6180"/>
        <w:spacing w:after="0"/>
        <w:rPr>
          <w:sz w:val="20"/>
          <w:szCs w:val="20"/>
          <w:color w:val="auto"/>
        </w:rPr>
      </w:pPr>
      <w:r>
        <w:rPr>
          <w:rFonts w:ascii="Arial" w:cs="Arial" w:eastAsia="Arial" w:hAnsi="Arial"/>
          <w:sz w:val="28"/>
          <w:szCs w:val="28"/>
          <w:b w:val="1"/>
          <w:bCs w:val="1"/>
          <w:color w:val="001E58"/>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-164465</wp:posOffset>
            </wp:positionV>
            <wp:extent cx="4552315" cy="3798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extLst>
                    </a:blip>
                    <a:srcRect/>
                    <a:stretch>
                      <a:fillRect/>
                    </a:stretch>
                  </pic:blipFill>
                  <pic:spPr bwMode="auto">
                    <a:xfrm>
                      <a:off x="0" y="0"/>
                      <a:ext cx="4552315" cy="37985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180" w:right="240"/>
        <w:spacing w:after="0" w:line="255" w:lineRule="exact"/>
        <w:rPr>
          <w:sz w:val="20"/>
          <w:szCs w:val="20"/>
          <w:color w:val="auto"/>
        </w:rPr>
      </w:pPr>
      <w:r>
        <w:rPr>
          <w:rFonts w:ascii="Arial" w:cs="Arial" w:eastAsia="Arial" w:hAnsi="Arial"/>
          <w:sz w:val="14"/>
          <w:szCs w:val="14"/>
          <w:color w:val="0D0D0D"/>
        </w:rPr>
        <w:t>In oil and gas, which represented approximately 11% of 2025 segment revenues, Kirby is a distributor and service provider for diesel engines, transmissions, and pumps, as well as a supplier of OEM replacement parts. Through its manufacturing businesses, Kirby is HU</w:t>
      </w:r>
      <w:r>
        <w:rPr>
          <w:rFonts w:ascii="PMingLiU" w:cs="PMingLiU" w:eastAsia="PMingLiU" w:hAnsi="PMingLiU"/>
          <w:sz w:val="14"/>
          <w:szCs w:val="14"/>
          <w:color w:val="0D0D0D"/>
        </w:rPr>
        <w:t/>
      </w:r>
      <w:r>
        <w:rPr>
          <w:rFonts w:ascii="Arial" w:cs="Arial" w:eastAsia="Arial" w:hAnsi="Arial"/>
          <w:sz w:val="14"/>
          <w:szCs w:val="14"/>
          <w:color w:val="0D0D0D"/>
        </w:rPr>
        <w:t>PUK\Z[Y`</w:t>
      </w:r>
      <w:r>
        <w:rPr>
          <w:rFonts w:ascii="PMingLiU" w:cs="PMingLiU" w:eastAsia="PMingLiU" w:hAnsi="PMingLiU"/>
          <w:sz w:val="14"/>
          <w:szCs w:val="14"/>
          <w:color w:val="0D0D0D"/>
        </w:rPr>
        <w:t/>
      </w:r>
      <w:r>
        <w:rPr>
          <w:rFonts w:ascii="Arial" w:cs="Arial" w:eastAsia="Arial" w:hAnsi="Arial"/>
          <w:sz w:val="14"/>
          <w:szCs w:val="14"/>
          <w:color w:val="0D0D0D"/>
        </w:rPr>
        <w:t>SLHKLY</w:t>
      </w:r>
      <w:r>
        <w:rPr>
          <w:rFonts w:ascii="PMingLiU" w:cs="PMingLiU" w:eastAsia="PMingLiU" w:hAnsi="PMingLiU"/>
          <w:sz w:val="14"/>
          <w:szCs w:val="14"/>
          <w:color w:val="0D0D0D"/>
        </w:rPr>
        <w:t/>
      </w:r>
      <w:r>
        <w:rPr>
          <w:rFonts w:ascii="Arial" w:cs="Arial" w:eastAsia="Arial" w:hAnsi="Arial"/>
          <w:sz w:val="14"/>
          <w:szCs w:val="14"/>
          <w:color w:val="0D0D0D"/>
        </w:rPr>
        <w:t>PU</w:t>
      </w:r>
      <w:r>
        <w:rPr>
          <w:rFonts w:ascii="PMingLiU" w:cs="PMingLiU" w:eastAsia="PMingLiU" w:hAnsi="PMingLiU"/>
          <w:sz w:val="14"/>
          <w:szCs w:val="14"/>
          <w:color w:val="0D0D0D"/>
        </w:rPr>
        <w:t/>
      </w:r>
      <w:r>
        <w:rPr>
          <w:rFonts w:ascii="Arial" w:cs="Arial" w:eastAsia="Arial" w:hAnsi="Arial"/>
          <w:sz w:val="14"/>
          <w:szCs w:val="14"/>
          <w:color w:val="0D0D0D"/>
        </w:rPr>
        <w:t>[OL</w:t>
      </w:r>
      <w:r>
        <w:rPr>
          <w:rFonts w:ascii="PMingLiU" w:cs="PMingLiU" w:eastAsia="PMingLiU" w:hAnsi="PMingLiU"/>
          <w:sz w:val="14"/>
          <w:szCs w:val="14"/>
          <w:color w:val="0D0D0D"/>
        </w:rPr>
        <w:t/>
      </w:r>
      <w:r>
        <w:rPr>
          <w:rFonts w:ascii="Arial" w:cs="Arial" w:eastAsia="Arial" w:hAnsi="Arial"/>
          <w:sz w:val="14"/>
          <w:szCs w:val="14"/>
          <w:color w:val="0D0D0D"/>
        </w:rPr>
        <w:t>JVUZ[Y\J[PVU</w:t>
      </w:r>
      <w:r>
        <w:rPr>
          <w:rFonts w:ascii="PMingLiU" w:cs="PMingLiU" w:eastAsia="PMingLiU" w:hAnsi="PMingLiU"/>
          <w:sz w:val="14"/>
          <w:szCs w:val="14"/>
          <w:color w:val="0D0D0D"/>
        </w:rPr>
        <w:t/>
      </w:r>
      <w:r>
        <w:rPr>
          <w:rFonts w:ascii="Arial" w:cs="Arial" w:eastAsia="Arial" w:hAnsi="Arial"/>
          <w:sz w:val="14"/>
          <w:szCs w:val="14"/>
          <w:color w:val="0D0D0D"/>
        </w:rPr>
        <w:t>VM</w:t>
      </w:r>
      <w:r>
        <w:rPr>
          <w:rFonts w:ascii="PMingLiU" w:cs="PMingLiU" w:eastAsia="PMingLiU" w:hAnsi="PMingLiU"/>
          <w:sz w:val="14"/>
          <w:szCs w:val="14"/>
          <w:color w:val="0D0D0D"/>
        </w:rPr>
        <w:t/>
      </w:r>
      <w:r>
        <w:rPr>
          <w:rFonts w:ascii="Arial" w:cs="Arial" w:eastAsia="Arial" w:hAnsi="Arial"/>
          <w:sz w:val="14"/>
          <w:szCs w:val="14"/>
          <w:color w:val="0D0D0D"/>
        </w:rPr>
        <w:t>UL^</w:t>
      </w:r>
      <w:r>
        <w:rPr>
          <w:rFonts w:ascii="PMingLiU" w:cs="PMingLiU" w:eastAsia="PMingLiU" w:hAnsi="PMingLiU"/>
          <w:sz w:val="14"/>
          <w:szCs w:val="14"/>
          <w:color w:val="0D0D0D"/>
        </w:rPr>
        <w:t/>
      </w:r>
      <w:r>
        <w:rPr>
          <w:rFonts w:ascii="Arial" w:cs="Arial" w:eastAsia="Arial" w:hAnsi="Arial"/>
          <w:sz w:val="14"/>
          <w:szCs w:val="14"/>
          <w:color w:val="0D0D0D"/>
        </w:rPr>
        <w:t>VPSÄLSK</w:t>
      </w:r>
      <w:r>
        <w:rPr>
          <w:rFonts w:ascii="PMingLiU" w:cs="PMingLiU" w:eastAsia="PMingLiU" w:hAnsi="PMingLiU"/>
          <w:sz w:val="14"/>
          <w:szCs w:val="14"/>
          <w:color w:val="0D0D0D"/>
        </w:rPr>
        <w:t/>
      </w:r>
      <w:r>
        <w:rPr>
          <w:rFonts w:ascii="Arial" w:cs="Arial" w:eastAsia="Arial" w:hAnsi="Arial"/>
          <w:sz w:val="14"/>
          <w:szCs w:val="14"/>
          <w:color w:val="0D0D0D"/>
        </w:rPr>
        <w:t xml:space="preserve"> LX\PWTLU[</w:t>
      </w:r>
      <w:r>
        <w:rPr>
          <w:rFonts w:ascii="PMingLiU" w:cs="PMingLiU" w:eastAsia="PMingLiU" w:hAnsi="PMingLiU"/>
          <w:sz w:val="14"/>
          <w:szCs w:val="14"/>
          <w:color w:val="0D0D0D"/>
        </w:rPr>
        <w:t/>
      </w:r>
      <w:r>
        <w:rPr>
          <w:rFonts w:ascii="Arial" w:cs="Arial" w:eastAsia="Arial" w:hAnsi="Arial"/>
          <w:sz w:val="14"/>
          <w:szCs w:val="14"/>
          <w:color w:val="0D0D0D"/>
        </w:rPr>
        <w:t>PUJS\KPUN</w:t>
      </w:r>
      <w:r>
        <w:rPr>
          <w:rFonts w:ascii="PMingLiU" w:cs="PMingLiU" w:eastAsia="PMingLiU" w:hAnsi="PMingLiU"/>
          <w:sz w:val="14"/>
          <w:szCs w:val="14"/>
          <w:color w:val="0D0D0D"/>
        </w:rPr>
        <w:t/>
      </w:r>
      <w:r>
        <w:rPr>
          <w:rFonts w:ascii="Arial" w:cs="Arial" w:eastAsia="Arial" w:hAnsi="Arial"/>
          <w:sz w:val="14"/>
          <w:szCs w:val="14"/>
          <w:color w:val="0D0D0D"/>
        </w:rPr>
        <w:t>WYLZZ\YL</w:t>
      </w:r>
      <w:r>
        <w:rPr>
          <w:rFonts w:ascii="PMingLiU" w:cs="PMingLiU" w:eastAsia="PMingLiU" w:hAnsi="PMingLiU"/>
          <w:sz w:val="14"/>
          <w:szCs w:val="14"/>
          <w:color w:val="0D0D0D"/>
        </w:rPr>
        <w:t/>
      </w:r>
      <w:r>
        <w:rPr>
          <w:rFonts w:ascii="Arial" w:cs="Arial" w:eastAsia="Arial" w:hAnsi="Arial"/>
          <w:sz w:val="14"/>
          <w:szCs w:val="14"/>
          <w:color w:val="0D0D0D"/>
        </w:rPr>
        <w:t>W\TWPUN</w:t>
      </w:r>
      <w:r>
        <w:rPr>
          <w:rFonts w:ascii="PMingLiU" w:cs="PMingLiU" w:eastAsia="PMingLiU" w:hAnsi="PMingLiU"/>
          <w:sz w:val="14"/>
          <w:szCs w:val="14"/>
          <w:color w:val="0D0D0D"/>
        </w:rPr>
        <w:t/>
      </w:r>
      <w:r>
        <w:rPr>
          <w:rFonts w:ascii="Arial" w:cs="Arial" w:eastAsia="Arial" w:hAnsi="Arial"/>
          <w:sz w:val="14"/>
          <w:szCs w:val="14"/>
          <w:color w:val="0D0D0D"/>
        </w:rPr>
        <w:t>LX\PWTLU[</w:t>
      </w:r>
      <w:r>
        <w:rPr>
          <w:rFonts w:ascii="PMingLiU" w:cs="PMingLiU" w:eastAsia="PMingLiU" w:hAnsi="PMingLiU"/>
          <w:sz w:val="14"/>
          <w:szCs w:val="14"/>
          <w:color w:val="0D0D0D"/>
        </w:rPr>
        <w:t/>
      </w:r>
      <w:r>
        <w:rPr>
          <w:rFonts w:ascii="Arial" w:cs="Arial" w:eastAsia="Arial" w:hAnsi="Arial"/>
          <w:sz w:val="14"/>
          <w:szCs w:val="14"/>
          <w:color w:val="0D0D0D"/>
        </w:rPr>
        <w:t xml:space="preserve"> and specialized electrical fracturing and completion Z`Z[LTZ</w:t>
      </w:r>
      <w:r>
        <w:rPr>
          <w:rFonts w:ascii="PMingLiU" w:cs="PMingLiU" w:eastAsia="PMingLiU" w:hAnsi="PMingLiU"/>
          <w:sz w:val="14"/>
          <w:szCs w:val="14"/>
          <w:color w:val="0D0D0D"/>
        </w:rPr>
        <w:t/>
      </w:r>
      <w:r>
        <w:rPr>
          <w:rFonts w:ascii="Arial" w:cs="Arial" w:eastAsia="Arial" w:hAnsi="Arial"/>
          <w:sz w:val="14"/>
          <w:szCs w:val="14"/>
          <w:color w:val="0D0D0D"/>
        </w:rPr>
        <w:t>HUK</w:t>
      </w:r>
      <w:r>
        <w:rPr>
          <w:rFonts w:ascii="PMingLiU" w:cs="PMingLiU" w:eastAsia="PMingLiU" w:hAnsi="PMingLiU"/>
          <w:sz w:val="14"/>
          <w:szCs w:val="14"/>
          <w:color w:val="0D0D0D"/>
        </w:rPr>
        <w:t/>
      </w:r>
      <w:r>
        <w:rPr>
          <w:rFonts w:ascii="Arial" w:cs="Arial" w:eastAsia="Arial" w:hAnsi="Arial"/>
          <w:sz w:val="14"/>
          <w:szCs w:val="14"/>
          <w:color w:val="0D0D0D"/>
        </w:rPr>
        <w:t>JVU[YVS</w:t>
      </w:r>
      <w:r>
        <w:rPr>
          <w:rFonts w:ascii="PMingLiU" w:cs="PMingLiU" w:eastAsia="PMingLiU" w:hAnsi="PMingLiU"/>
          <w:sz w:val="14"/>
          <w:szCs w:val="14"/>
          <w:color w:val="0D0D0D"/>
        </w:rPr>
        <w:t/>
      </w:r>
      <w:r>
        <w:rPr>
          <w:rFonts w:ascii="Arial" w:cs="Arial" w:eastAsia="Arial" w:hAnsi="Arial"/>
          <w:sz w:val="14"/>
          <w:szCs w:val="14"/>
          <w:color w:val="0D0D0D"/>
        </w:rPr>
        <w:t>LX\PWTLU[</w:t>
      </w:r>
      <w:r>
        <w:rPr>
          <w:rFonts w:ascii="PMingLiU" w:cs="PMingLiU" w:eastAsia="PMingLiU" w:hAnsi="PMingLiU"/>
          <w:sz w:val="14"/>
          <w:szCs w:val="14"/>
          <w:color w:val="0D0D0D"/>
        </w:rPr>
        <w:t/>
      </w:r>
      <w:r>
        <w:rPr>
          <w:rFonts w:ascii="Arial" w:cs="Arial" w:eastAsia="Arial" w:hAnsi="Arial"/>
          <w:sz w:val="14"/>
          <w:szCs w:val="14"/>
          <w:color w:val="0D0D0D"/>
        </w:rPr>
        <w:t>2PYI`»Z</w:t>
      </w:r>
      <w:r>
        <w:rPr>
          <w:rFonts w:ascii="PMingLiU" w:cs="PMingLiU" w:eastAsia="PMingLiU" w:hAnsi="PMingLiU"/>
          <w:sz w:val="14"/>
          <w:szCs w:val="14"/>
          <w:color w:val="0D0D0D"/>
        </w:rPr>
        <w:t/>
      </w:r>
      <w:r>
        <w:rPr>
          <w:rFonts w:ascii="Arial" w:cs="Arial" w:eastAsia="Arial" w:hAnsi="Arial"/>
          <w:sz w:val="14"/>
          <w:szCs w:val="14"/>
          <w:color w:val="0D0D0D"/>
        </w:rPr>
        <w:t xml:space="preserve"> manufacturing businesses also specialize in the remanufacture and service of existing pressure W\TWPUN</w:t>
      </w:r>
      <w:r>
        <w:rPr>
          <w:rFonts w:ascii="PMingLiU" w:cs="PMingLiU" w:eastAsia="PMingLiU" w:hAnsi="PMingLiU"/>
          <w:sz w:val="14"/>
          <w:szCs w:val="14"/>
          <w:color w:val="0D0D0D"/>
        </w:rPr>
        <w:t/>
      </w:r>
      <w:r>
        <w:rPr>
          <w:rFonts w:ascii="Arial" w:cs="Arial" w:eastAsia="Arial" w:hAnsi="Arial"/>
          <w:sz w:val="14"/>
          <w:szCs w:val="14"/>
          <w:color w:val="0D0D0D"/>
        </w:rPr>
        <w:t>LX\PWTLU[</w:t>
      </w:r>
      <w:r>
        <w:rPr>
          <w:rFonts w:ascii="PMingLiU" w:cs="PMingLiU" w:eastAsia="PMingLiU" w:hAnsi="PMingLiU"/>
          <w:sz w:val="14"/>
          <w:szCs w:val="14"/>
          <w:color w:val="0D0D0D"/>
        </w:rPr>
        <w:t/>
      </w:r>
      <w:r>
        <w:rPr>
          <w:rFonts w:ascii="Arial" w:cs="Arial" w:eastAsia="Arial" w:hAnsi="Arial"/>
          <w:sz w:val="14"/>
          <w:szCs w:val="14"/>
          <w:color w:val="0D0D0D"/>
        </w:rPr>
        <w:t>2PYI`»Z</w:t>
      </w:r>
      <w:r>
        <w:rPr>
          <w:rFonts w:ascii="PMingLiU" w:cs="PMingLiU" w:eastAsia="PMingLiU" w:hAnsi="PMingLiU"/>
          <w:sz w:val="14"/>
          <w:szCs w:val="14"/>
          <w:color w:val="0D0D0D"/>
        </w:rPr>
        <w:t/>
      </w:r>
      <w:r>
        <w:rPr>
          <w:rFonts w:ascii="Arial" w:cs="Arial" w:eastAsia="Arial" w:hAnsi="Arial"/>
          <w:sz w:val="14"/>
          <w:szCs w:val="14"/>
          <w:color w:val="0D0D0D"/>
        </w:rPr>
        <w:t>J\Z[VTLYZ</w:t>
      </w:r>
      <w:r>
        <w:rPr>
          <w:rFonts w:ascii="PMingLiU" w:cs="PMingLiU" w:eastAsia="PMingLiU" w:hAnsi="PMingLiU"/>
          <w:sz w:val="14"/>
          <w:szCs w:val="14"/>
          <w:color w:val="0D0D0D"/>
        </w:rPr>
        <w:t/>
      </w:r>
      <w:r>
        <w:rPr>
          <w:rFonts w:ascii="Arial" w:cs="Arial" w:eastAsia="Arial" w:hAnsi="Arial"/>
          <w:sz w:val="14"/>
          <w:szCs w:val="14"/>
          <w:color w:val="0D0D0D"/>
        </w:rPr>
        <w:t>PUJS\KL</w:t>
      </w:r>
      <w:r>
        <w:rPr>
          <w:rFonts w:ascii="PMingLiU" w:cs="PMingLiU" w:eastAsia="PMingLiU" w:hAnsi="PMingLiU"/>
          <w:sz w:val="14"/>
          <w:szCs w:val="14"/>
          <w:color w:val="0D0D0D"/>
        </w:rPr>
        <w:t/>
      </w:r>
      <w:r>
        <w:rPr>
          <w:rFonts w:ascii="Arial" w:cs="Arial" w:eastAsia="Arial" w:hAnsi="Arial"/>
          <w:sz w:val="14"/>
          <w:szCs w:val="14"/>
          <w:color w:val="0D0D0D"/>
        </w:rPr>
        <w:t>SHYNL</w:t>
      </w:r>
      <w:r>
        <w:rPr>
          <w:rFonts w:ascii="PMingLiU" w:cs="PMingLiU" w:eastAsia="PMingLiU" w:hAnsi="PMingLiU"/>
          <w:sz w:val="14"/>
          <w:szCs w:val="14"/>
          <w:color w:val="0D0D0D"/>
        </w:rPr>
        <w:t/>
      </w:r>
      <w:r>
        <w:rPr>
          <w:rFonts w:ascii="Arial" w:cs="Arial" w:eastAsia="Arial" w:hAnsi="Arial"/>
          <w:sz w:val="14"/>
          <w:szCs w:val="14"/>
          <w:color w:val="0D0D0D"/>
        </w:rPr>
        <w:t xml:space="preserve"> HUK</w:t>
      </w:r>
      <w:r>
        <w:rPr>
          <w:rFonts w:ascii="PMingLiU" w:cs="PMingLiU" w:eastAsia="PMingLiU" w:hAnsi="PMingLiU"/>
          <w:sz w:val="14"/>
          <w:szCs w:val="14"/>
          <w:color w:val="0D0D0D"/>
        </w:rPr>
        <w:t/>
      </w:r>
      <w:r>
        <w:rPr>
          <w:rFonts w:ascii="Arial" w:cs="Arial" w:eastAsia="Arial" w:hAnsi="Arial"/>
          <w:sz w:val="14"/>
          <w:szCs w:val="14"/>
          <w:color w:val="0D0D0D"/>
        </w:rPr>
        <w:t>TPK</w:t>
      </w:r>
      <w:r>
        <w:rPr>
          <w:rFonts w:ascii="PMingLiU" w:cs="PMingLiU" w:eastAsia="PMingLiU" w:hAnsi="PMingLiU"/>
          <w:sz w:val="14"/>
          <w:szCs w:val="14"/>
          <w:color w:val="0D0D0D"/>
        </w:rPr>
        <w:t/>
      </w:r>
      <w:r>
        <w:rPr>
          <w:rFonts w:ascii="Arial" w:cs="Arial" w:eastAsia="Arial" w:hAnsi="Arial"/>
          <w:sz w:val="14"/>
          <w:szCs w:val="14"/>
          <w:color w:val="0D0D0D"/>
        </w:rPr>
        <w:t>JHW</w:t>
      </w:r>
      <w:r>
        <w:rPr>
          <w:rFonts w:ascii="PMingLiU" w:cs="PMingLiU" w:eastAsia="PMingLiU" w:hAnsi="PMingLiU"/>
          <w:sz w:val="14"/>
          <w:szCs w:val="14"/>
          <w:color w:val="0D0D0D"/>
        </w:rPr>
        <w:t/>
      </w:r>
      <w:r>
        <w:rPr>
          <w:rFonts w:ascii="Arial" w:cs="Arial" w:eastAsia="Arial" w:hAnsi="Arial"/>
          <w:sz w:val="14"/>
          <w:szCs w:val="14"/>
          <w:color w:val="0D0D0D"/>
        </w:rPr>
        <w:t>VPSÄLSK</w:t>
      </w:r>
      <w:r>
        <w:rPr>
          <w:rFonts w:ascii="PMingLiU" w:cs="PMingLiU" w:eastAsia="PMingLiU" w:hAnsi="PMingLiU"/>
          <w:sz w:val="14"/>
          <w:szCs w:val="14"/>
          <w:color w:val="0D0D0D"/>
        </w:rPr>
        <w:t/>
      </w:r>
      <w:r>
        <w:rPr>
          <w:rFonts w:ascii="Arial" w:cs="Arial" w:eastAsia="Arial" w:hAnsi="Arial"/>
          <w:sz w:val="14"/>
          <w:szCs w:val="14"/>
          <w:color w:val="0D0D0D"/>
        </w:rPr>
        <w:t>ZLY]PJL</w:t>
      </w:r>
      <w:r>
        <w:rPr>
          <w:rFonts w:ascii="PMingLiU" w:cs="PMingLiU" w:eastAsia="PMingLiU" w:hAnsi="PMingLiU"/>
          <w:sz w:val="14"/>
          <w:szCs w:val="14"/>
          <w:color w:val="0D0D0D"/>
        </w:rPr>
        <w:t/>
      </w:r>
      <w:r>
        <w:rPr>
          <w:rFonts w:ascii="Arial" w:cs="Arial" w:eastAsia="Arial" w:hAnsi="Arial"/>
          <w:sz w:val="14"/>
          <w:szCs w:val="14"/>
          <w:color w:val="0D0D0D"/>
        </w:rPr>
        <w:t>JVTWHUPLZ</w:t>
      </w:r>
      <w:r>
        <w:rPr>
          <w:rFonts w:ascii="PMingLiU" w:cs="PMingLiU" w:eastAsia="PMingLiU" w:hAnsi="PMingLiU"/>
          <w:sz w:val="14"/>
          <w:szCs w:val="14"/>
          <w:color w:val="0D0D0D"/>
        </w:rPr>
        <w:t/>
      </w:r>
      <w:r>
        <w:rPr>
          <w:rFonts w:ascii="Arial" w:cs="Arial" w:eastAsia="Arial" w:hAnsi="Arial"/>
          <w:sz w:val="14"/>
          <w:szCs w:val="14"/>
          <w:color w:val="0D0D0D"/>
        </w:rPr>
        <w:t>VWLYH[VYZ</w:t>
      </w:r>
      <w:r>
        <w:rPr>
          <w:rFonts w:ascii="PMingLiU" w:cs="PMingLiU" w:eastAsia="PMingLiU" w:hAnsi="PMingLiU"/>
          <w:sz w:val="14"/>
          <w:szCs w:val="14"/>
          <w:color w:val="0D0D0D"/>
        </w:rPr>
        <w:t/>
      </w:r>
      <w:r>
        <w:rPr>
          <w:rFonts w:ascii="Arial" w:cs="Arial" w:eastAsia="Arial" w:hAnsi="Arial"/>
          <w:sz w:val="14"/>
          <w:szCs w:val="14"/>
          <w:color w:val="0D0D0D"/>
        </w:rPr>
        <w:t xml:space="preserve"> and producers in the United States and international markets.</w:t>
      </w:r>
    </w:p>
    <w:p>
      <w:pPr>
        <w:spacing w:after="0" w:line="202" w:lineRule="exact"/>
        <w:rPr>
          <w:sz w:val="20"/>
          <w:szCs w:val="20"/>
          <w:color w:val="auto"/>
        </w:rPr>
      </w:pPr>
    </w:p>
    <w:p>
      <w:pPr>
        <w:ind w:left="6180" w:right="300"/>
        <w:spacing w:after="0" w:line="399" w:lineRule="auto"/>
        <w:rPr>
          <w:sz w:val="20"/>
          <w:szCs w:val="20"/>
          <w:color w:val="auto"/>
        </w:rPr>
      </w:pPr>
      <w:r>
        <w:rPr>
          <w:rFonts w:ascii="Arial" w:cs="Arial" w:eastAsia="Arial" w:hAnsi="Arial"/>
          <w:sz w:val="16"/>
          <w:szCs w:val="16"/>
          <w:b w:val="1"/>
          <w:bCs w:val="1"/>
          <w:color w:val="00712E"/>
        </w:rPr>
        <w:t>O&amp;G Brands: MTU, Allison Transmission, DEUTZ, and Volvo Penta.</w:t>
      </w:r>
    </w:p>
    <w:p>
      <w:pPr>
        <w:spacing w:after="0" w:line="171" w:lineRule="exact"/>
        <w:rPr>
          <w:sz w:val="20"/>
          <w:szCs w:val="20"/>
          <w:color w:val="auto"/>
        </w:rPr>
      </w:pPr>
    </w:p>
    <w:p>
      <w:pPr>
        <w:ind w:left="6180" w:right="340"/>
        <w:spacing w:after="0" w:line="161" w:lineRule="exact"/>
        <w:rPr>
          <w:sz w:val="20"/>
          <w:szCs w:val="20"/>
          <w:color w:val="auto"/>
        </w:rPr>
      </w:pPr>
      <w:r>
        <w:rPr>
          <w:rFonts w:ascii="Arial" w:cs="Arial" w:eastAsia="Arial" w:hAnsi="Arial"/>
          <w:sz w:val="14"/>
          <w:szCs w:val="14"/>
          <w:i w:val="1"/>
          <w:iCs w:val="1"/>
          <w:color w:val="00712E"/>
        </w:rPr>
        <w:t>:[L^HY[</w:t>
      </w:r>
      <w:r>
        <w:rPr>
          <w:rFonts w:ascii="PMingLiU" w:cs="PMingLiU" w:eastAsia="PMingLiU" w:hAnsi="PMingLiU"/>
          <w:sz w:val="14"/>
          <w:szCs w:val="14"/>
          <w:i w:val="1"/>
          <w:iCs w:val="1"/>
          <w:color w:val="00712E"/>
        </w:rPr>
        <w:t/>
      </w:r>
      <w:r>
        <w:rPr>
          <w:rFonts w:ascii="Arial" w:cs="Arial" w:eastAsia="Arial" w:hAnsi="Arial"/>
          <w:sz w:val="14"/>
          <w:szCs w:val="14"/>
          <w:i w:val="1"/>
          <w:iCs w:val="1"/>
          <w:color w:val="00712E"/>
        </w:rPr>
        <w:t xml:space="preserve">:[L]LUZVU </w:t>
      </w:r>
      <w:r>
        <w:rPr>
          <w:rFonts w:ascii="PMingLiU" w:cs="PMingLiU" w:eastAsia="PMingLiU" w:hAnsi="PMingLiU"/>
          <w:sz w:val="14"/>
          <w:szCs w:val="14"/>
          <w:i w:val="1"/>
          <w:iCs w:val="1"/>
          <w:color w:val="00712E"/>
        </w:rPr>
        <w:t/>
      </w:r>
      <w:r>
        <w:rPr>
          <w:rFonts w:ascii="Arial" w:cs="Arial" w:eastAsia="Arial" w:hAnsi="Arial"/>
          <w:sz w:val="14"/>
          <w:szCs w:val="14"/>
          <w:i w:val="1"/>
          <w:iCs w:val="1"/>
          <w:color w:val="00712E"/>
        </w:rPr>
        <w:t>[LJOUPJPHU</w:t>
      </w:r>
      <w:r>
        <w:rPr>
          <w:rFonts w:ascii="PMingLiU" w:cs="PMingLiU" w:eastAsia="PMingLiU" w:hAnsi="PMingLiU"/>
          <w:sz w:val="14"/>
          <w:szCs w:val="14"/>
          <w:i w:val="1"/>
          <w:iCs w:val="1"/>
          <w:color w:val="00712E"/>
        </w:rPr>
        <w:t/>
      </w:r>
      <w:r>
        <w:rPr>
          <w:rFonts w:ascii="Arial" w:cs="Arial" w:eastAsia="Arial" w:hAnsi="Arial"/>
          <w:sz w:val="14"/>
          <w:szCs w:val="14"/>
          <w:i w:val="1"/>
          <w:iCs w:val="1"/>
          <w:color w:val="00712E"/>
        </w:rPr>
        <w:t>JVTWSL[PUN</w:t>
      </w:r>
      <w:r>
        <w:rPr>
          <w:rFonts w:ascii="PMingLiU" w:cs="PMingLiU" w:eastAsia="PMingLiU" w:hAnsi="PMingLiU"/>
          <w:sz w:val="14"/>
          <w:szCs w:val="14"/>
          <w:i w:val="1"/>
          <w:iCs w:val="1"/>
          <w:color w:val="00712E"/>
        </w:rPr>
        <w:t/>
      </w:r>
      <w:r>
        <w:rPr>
          <w:rFonts w:ascii="Arial" w:cs="Arial" w:eastAsia="Arial" w:hAnsi="Arial"/>
          <w:sz w:val="14"/>
          <w:szCs w:val="14"/>
          <w:i w:val="1"/>
          <w:iCs w:val="1"/>
          <w:color w:val="00712E"/>
        </w:rPr>
        <w:t>[OL</w:t>
      </w:r>
      <w:r>
        <w:rPr>
          <w:rFonts w:ascii="PMingLiU" w:cs="PMingLiU" w:eastAsia="PMingLiU" w:hAnsi="PMingLiU"/>
          <w:sz w:val="14"/>
          <w:szCs w:val="14"/>
          <w:i w:val="1"/>
          <w:iCs w:val="1"/>
          <w:color w:val="00712E"/>
        </w:rPr>
        <w:t/>
      </w:r>
      <w:r>
        <w:rPr>
          <w:rFonts w:ascii="Arial" w:cs="Arial" w:eastAsia="Arial" w:hAnsi="Arial"/>
          <w:sz w:val="14"/>
          <w:szCs w:val="14"/>
          <w:i w:val="1"/>
          <w:iCs w:val="1"/>
          <w:color w:val="00712E"/>
        </w:rPr>
        <w:t xml:space="preserve"> ÄUHS</w:t>
      </w:r>
      <w:r>
        <w:rPr>
          <w:rFonts w:ascii="PMingLiU" w:cs="PMingLiU" w:eastAsia="PMingLiU" w:hAnsi="PMingLiU"/>
          <w:sz w:val="14"/>
          <w:szCs w:val="14"/>
          <w:i w:val="1"/>
          <w:iCs w:val="1"/>
          <w:color w:val="00712E"/>
        </w:rPr>
        <w:t/>
      </w:r>
      <w:r>
        <w:rPr>
          <w:rFonts w:ascii="Arial" w:cs="Arial" w:eastAsia="Arial" w:hAnsi="Arial"/>
          <w:sz w:val="14"/>
          <w:szCs w:val="14"/>
          <w:i w:val="1"/>
          <w:iCs w:val="1"/>
          <w:color w:val="00712E"/>
        </w:rPr>
        <w:t xml:space="preserve"> checks and securing connections on an electric fracturing piece of equipment before testing and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194945</wp:posOffset>
            </wp:positionV>
            <wp:extent cx="7658100" cy="5026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extLst>
                    </a:blip>
                    <a:srcRect/>
                    <a:stretch>
                      <a:fillRect/>
                    </a:stretch>
                  </pic:blipFill>
                  <pic:spPr bwMode="auto">
                    <a:xfrm>
                      <a:off x="0" y="0"/>
                      <a:ext cx="7658100" cy="502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00712E"/>
        </w:rPr>
        <w:t>2025 Sustainability Highlights</w:t>
      </w:r>
    </w:p>
    <w:p>
      <w:pPr>
        <w:sectPr>
          <w:pgSz w:w="12240" w:h="15840" w:orient="portrait"/>
          <w:cols w:equalWidth="0" w:num="1">
            <w:col w:w="10200"/>
          </w:cols>
          <w:pgMar w:left="1440" w:top="1440" w:right="600"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80"/>
        <w:spacing w:after="0" w:line="255" w:lineRule="exact"/>
        <w:rPr>
          <w:sz w:val="20"/>
          <w:szCs w:val="20"/>
          <w:color w:val="auto"/>
        </w:rPr>
      </w:pPr>
      <w:r>
        <w:rPr>
          <w:rFonts w:ascii="Arial" w:cs="Arial" w:eastAsia="Arial" w:hAnsi="Arial"/>
          <w:sz w:val="15"/>
          <w:szCs w:val="15"/>
          <w:color w:val="0D0D0D"/>
          <w:shd w:val="clear" w:color="auto" w:fill="F2F2F2"/>
        </w:rPr>
        <w:t>The “</w:t>
      </w:r>
      <w:r>
        <w:rPr>
          <w:rFonts w:ascii="Arial" w:cs="Arial" w:eastAsia="Arial" w:hAnsi="Arial"/>
          <w:sz w:val="15"/>
          <w:szCs w:val="15"/>
          <w:b w:val="1"/>
          <w:bCs w:val="1"/>
          <w:color w:val="0D0D0D"/>
          <w:shd w:val="clear" w:color="auto" w:fill="F2F2F2"/>
        </w:rPr>
        <w:t>Kirby Way</w:t>
      </w:r>
      <w:r>
        <w:rPr>
          <w:rFonts w:ascii="Arial" w:cs="Arial" w:eastAsia="Arial" w:hAnsi="Arial"/>
          <w:sz w:val="15"/>
          <w:szCs w:val="15"/>
          <w:color w:val="0D0D0D"/>
        </w:rPr>
        <w:t>¹</w:t>
      </w:r>
      <w:r>
        <w:rPr>
          <w:rFonts w:ascii="PMingLiU" w:cs="PMingLiU" w:eastAsia="PMingLiU" w:hAnsi="PMingLiU"/>
          <w:sz w:val="15"/>
          <w:szCs w:val="15"/>
          <w:color w:val="0D0D0D"/>
        </w:rPr>
        <w:t/>
      </w:r>
      <w:r>
        <w:rPr>
          <w:rFonts w:ascii="Arial" w:cs="Arial" w:eastAsia="Arial" w:hAnsi="Arial"/>
          <w:sz w:val="15"/>
          <w:szCs w:val="15"/>
          <w:color w:val="0D0D0D"/>
        </w:rPr>
        <w:t>KLÄULZ</w:t>
      </w:r>
      <w:r>
        <w:rPr>
          <w:rFonts w:ascii="PMingLiU" w:cs="PMingLiU" w:eastAsia="PMingLiU" w:hAnsi="PMingLiU"/>
          <w:sz w:val="15"/>
          <w:szCs w:val="15"/>
          <w:color w:val="0D0D0D"/>
        </w:rPr>
        <w:t/>
      </w:r>
      <w:r>
        <w:rPr>
          <w:rFonts w:ascii="Arial" w:cs="Arial" w:eastAsia="Arial" w:hAnsi="Arial"/>
          <w:sz w:val="15"/>
          <w:szCs w:val="15"/>
          <w:color w:val="0D0D0D"/>
        </w:rPr>
        <w:t>V\Y</w:t>
      </w:r>
      <w:r>
        <w:rPr>
          <w:rFonts w:ascii="PMingLiU" w:cs="PMingLiU" w:eastAsia="PMingLiU" w:hAnsi="PMingLiU"/>
          <w:sz w:val="15"/>
          <w:szCs w:val="15"/>
          <w:color w:val="0D0D0D"/>
        </w:rPr>
        <w:t/>
      </w:r>
      <w:r>
        <w:rPr>
          <w:rFonts w:ascii="Arial" w:cs="Arial" w:eastAsia="Arial" w:hAnsi="Arial"/>
          <w:sz w:val="15"/>
          <w:szCs w:val="15"/>
          <w:color w:val="0D0D0D"/>
        </w:rPr>
        <w:t>JVYL</w:t>
      </w:r>
      <w:r>
        <w:rPr>
          <w:rFonts w:ascii="PMingLiU" w:cs="PMingLiU" w:eastAsia="PMingLiU" w:hAnsi="PMingLiU"/>
          <w:sz w:val="15"/>
          <w:szCs w:val="15"/>
          <w:color w:val="0D0D0D"/>
        </w:rPr>
        <w:t/>
      </w:r>
      <w:r>
        <w:rPr>
          <w:rFonts w:ascii="Arial" w:cs="Arial" w:eastAsia="Arial" w:hAnsi="Arial"/>
          <w:sz w:val="15"/>
          <w:szCs w:val="15"/>
          <w:color w:val="0D0D0D"/>
        </w:rPr>
        <w:t>]HS\LZ</w:t>
      </w:r>
      <w:r>
        <w:rPr>
          <w:rFonts w:ascii="Arial" w:cs="Arial" w:eastAsia="Arial" w:hAnsi="Arial"/>
          <w:sz w:val="15"/>
          <w:szCs w:val="15"/>
          <w:color w:val="0D0D0D"/>
          <w:shd w:val="clear" w:color="auto" w:fill="F2F2F2"/>
        </w:rPr>
        <w:t xml:space="preserve"> of Safety, People, Excellence, Community, and Integrity. These core values are the foundation of our company’s success and drive sustainability objectives. Kirby will continue to prioritize our Core Values that contribute to best business practices and initiatives for our employees, customers and the communities in which we operate. To see more on our sustainability goals and initiatives, please visit our website at www.kirbycorp.com/sustainability.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231" w:lineRule="exact"/>
        <w:tabs>
          <w:tab w:leader="none" w:pos="2360" w:val="left"/>
          <w:tab w:leader="none" w:pos="5000" w:val="left"/>
        </w:tabs>
        <w:rPr>
          <w:sz w:val="20"/>
          <w:szCs w:val="20"/>
          <w:color w:val="auto"/>
        </w:rPr>
      </w:pPr>
      <w:r>
        <w:rPr>
          <w:rFonts w:ascii="Arial" w:cs="Arial" w:eastAsia="Arial" w:hAnsi="Arial"/>
          <w:sz w:val="19"/>
          <w:szCs w:val="19"/>
          <w:b w:val="1"/>
          <w:bCs w:val="1"/>
          <w:color w:val="00712E"/>
        </w:rPr>
        <w:t xml:space="preserve">STARTED </w:t>
      </w:r>
      <w:r>
        <w:rPr>
          <w:rFonts w:ascii="Arial" w:cs="Arial" w:eastAsia="Arial" w:hAnsi="Arial"/>
          <w:sz w:val="19"/>
          <w:szCs w:val="19"/>
          <w:color w:val="00712E"/>
        </w:rPr>
        <w:t>construction</w:t>
      </w:r>
      <w:r>
        <w:rPr>
          <w:sz w:val="20"/>
          <w:szCs w:val="20"/>
          <w:color w:val="auto"/>
        </w:rPr>
        <w:tab/>
      </w:r>
      <w:r>
        <w:rPr>
          <w:rFonts w:ascii="Arial" w:cs="Arial" w:eastAsia="Arial" w:hAnsi="Arial"/>
          <w:sz w:val="19"/>
          <w:szCs w:val="19"/>
          <w:color w:val="00712E"/>
        </w:rPr>
        <w:t>4HYPUL</w:t>
      </w:r>
      <w:r>
        <w:rPr>
          <w:rFonts w:ascii="PMingLiU" w:cs="PMingLiU" w:eastAsia="PMingLiU" w:hAnsi="PMingLiU"/>
          <w:sz w:val="19"/>
          <w:szCs w:val="19"/>
          <w:color w:val="00712E"/>
        </w:rPr>
        <w:t/>
      </w:r>
      <w:r>
        <w:rPr>
          <w:rFonts w:ascii="Arial" w:cs="Arial" w:eastAsia="Arial" w:hAnsi="Arial"/>
          <w:sz w:val="19"/>
          <w:szCs w:val="19"/>
          <w:color w:val="00712E"/>
        </w:rPr>
        <w:t>;YHPUPUN</w:t>
      </w:r>
      <w:r>
        <w:rPr>
          <w:rFonts w:ascii="PMingLiU" w:cs="PMingLiU" w:eastAsia="PMingLiU" w:hAnsi="PMingLiU"/>
          <w:sz w:val="19"/>
          <w:szCs w:val="19"/>
          <w:color w:val="00712E"/>
        </w:rPr>
        <w:t/>
      </w:r>
      <w:r>
        <w:rPr>
          <w:rFonts w:ascii="Arial" w:cs="Arial" w:eastAsia="Arial" w:hAnsi="Arial"/>
          <w:sz w:val="19"/>
          <w:szCs w:val="19"/>
          <w:color w:val="00712E"/>
        </w:rPr>
        <w:t>*LY[PÄJH[LZ</w:t>
      </w:r>
      <w:r>
        <w:rPr>
          <w:rFonts w:ascii="PMingLiU" w:cs="PMingLiU" w:eastAsia="PMingLiU" w:hAnsi="PMingLiU"/>
          <w:sz w:val="19"/>
          <w:szCs w:val="19"/>
          <w:color w:val="00712E"/>
        </w:rPr>
        <w:t/>
      </w:r>
      <w:r>
        <w:rPr>
          <w:sz w:val="20"/>
          <w:szCs w:val="20"/>
          <w:color w:val="auto"/>
        </w:rPr>
        <w:tab/>
      </w:r>
      <w:r>
        <w:rPr>
          <w:rFonts w:ascii="Arial" w:cs="Arial" w:eastAsia="Arial" w:hAnsi="Arial"/>
          <w:sz w:val="18"/>
          <w:szCs w:val="18"/>
          <w:color w:val="00712E"/>
        </w:rPr>
        <w:t>Emissions-intensity</w:t>
      </w:r>
    </w:p>
    <w:p>
      <w:pPr>
        <w:spacing w:after="0" w:line="41" w:lineRule="exact"/>
        <w:rPr>
          <w:sz w:val="20"/>
          <w:szCs w:val="20"/>
          <w:color w:val="auto"/>
        </w:rPr>
      </w:pPr>
    </w:p>
    <w:p>
      <w:pPr>
        <w:spacing w:after="0"/>
        <w:tabs>
          <w:tab w:leader="none" w:pos="2360" w:val="left"/>
          <w:tab w:leader="none" w:pos="5000" w:val="left"/>
        </w:tabs>
        <w:rPr>
          <w:sz w:val="20"/>
          <w:szCs w:val="20"/>
          <w:color w:val="auto"/>
        </w:rPr>
      </w:pPr>
      <w:r>
        <w:rPr>
          <w:rFonts w:ascii="Arial" w:cs="Arial" w:eastAsia="Arial" w:hAnsi="Arial"/>
          <w:sz w:val="19"/>
          <w:szCs w:val="19"/>
          <w:color w:val="00712E"/>
        </w:rPr>
        <w:t>on a</w:t>
      </w:r>
      <w:r>
        <w:rPr>
          <w:sz w:val="20"/>
          <w:szCs w:val="20"/>
          <w:color w:val="auto"/>
        </w:rPr>
        <w:tab/>
      </w:r>
      <w:r>
        <w:rPr>
          <w:rFonts w:ascii="Arial" w:cs="Arial" w:eastAsia="Arial" w:hAnsi="Arial"/>
          <w:sz w:val="19"/>
          <w:szCs w:val="19"/>
          <w:b w:val="1"/>
          <w:bCs w:val="1"/>
          <w:color w:val="00712E"/>
        </w:rPr>
        <w:t xml:space="preserve">ISSUED </w:t>
      </w:r>
      <w:r>
        <w:rPr>
          <w:rFonts w:ascii="Arial" w:cs="Arial" w:eastAsia="Arial" w:hAnsi="Arial"/>
          <w:sz w:val="19"/>
          <w:szCs w:val="19"/>
          <w:color w:val="00712E"/>
        </w:rPr>
        <w:t>In 2025:</w:t>
      </w:r>
      <w:r>
        <w:rPr>
          <w:sz w:val="20"/>
          <w:szCs w:val="20"/>
          <w:color w:val="auto"/>
        </w:rPr>
        <w:tab/>
      </w:r>
      <w:r>
        <w:rPr>
          <w:rFonts w:ascii="Arial" w:cs="Arial" w:eastAsia="Arial" w:hAnsi="Arial"/>
          <w:sz w:val="18"/>
          <w:szCs w:val="18"/>
          <w:color w:val="00712E"/>
        </w:rPr>
        <w:t>Reduction target:</w:t>
      </w:r>
    </w:p>
    <w:tbl>
      <w:tblPr>
        <w:tblLayout w:type="fixed"/>
        <w:tblInd w:w="0" w:type="dxa"/>
        <w:tblCellMar>
          <w:top w:w="0" w:type="dxa"/>
          <w:left w:w="0" w:type="dxa"/>
          <w:bottom w:w="0" w:type="dxa"/>
          <w:right w:w="0" w:type="dxa"/>
        </w:tblCellMar>
      </w:tblPr>
      <w:tr>
        <w:trPr>
          <w:trHeight w:val="652"/>
        </w:trPr>
        <w:tc>
          <w:tcPr>
            <w:tcW w:w="4040" w:type="dxa"/>
            <w:vAlign w:val="bottom"/>
            <w:gridSpan w:val="3"/>
          </w:tcPr>
          <w:p>
            <w:pPr>
              <w:spacing w:after="0" w:line="651" w:lineRule="exact"/>
              <w:rPr>
                <w:sz w:val="20"/>
                <w:szCs w:val="20"/>
                <w:color w:val="auto"/>
              </w:rPr>
            </w:pPr>
            <w:r>
              <w:rPr>
                <w:rFonts w:ascii="Arial" w:cs="Arial" w:eastAsia="Arial" w:hAnsi="Arial"/>
                <w:sz w:val="63"/>
                <w:szCs w:val="63"/>
                <w:b w:val="1"/>
                <w:bCs w:val="1"/>
                <w:color w:val="001E58"/>
                <w:w w:val="86"/>
              </w:rPr>
              <w:t>2</w:t>
            </w:r>
            <w:r>
              <w:rPr>
                <w:rFonts w:ascii="Arial" w:cs="Arial" w:eastAsia="Arial" w:hAnsi="Arial"/>
                <w:sz w:val="70"/>
                <w:szCs w:val="70"/>
                <w:b w:val="1"/>
                <w:bCs w:val="1"/>
                <w:color w:val="001E58"/>
                <w:w w:val="86"/>
                <w:vertAlign w:val="superscript"/>
              </w:rPr>
              <w:t>nd</w:t>
            </w:r>
            <w:r>
              <w:rPr>
                <w:rFonts w:ascii="Arial" w:cs="Arial" w:eastAsia="Arial" w:hAnsi="Arial"/>
                <w:sz w:val="63"/>
                <w:szCs w:val="63"/>
                <w:b w:val="1"/>
                <w:bCs w:val="1"/>
                <w:color w:val="001E58"/>
                <w:w w:val="86"/>
              </w:rPr>
              <w:t xml:space="preserve"> </w:t>
            </w:r>
            <w:r>
              <w:rPr>
                <w:rFonts w:ascii="Arial" w:cs="Arial" w:eastAsia="Arial" w:hAnsi="Arial"/>
                <w:sz w:val="38"/>
                <w:szCs w:val="38"/>
                <w:b w:val="1"/>
                <w:bCs w:val="1"/>
                <w:color w:val="001E58"/>
                <w:w w:val="86"/>
              </w:rPr>
              <w:t>&amp;</w:t>
            </w:r>
            <w:r>
              <w:rPr>
                <w:rFonts w:ascii="Arial" w:cs="Arial" w:eastAsia="Arial" w:hAnsi="Arial"/>
                <w:sz w:val="63"/>
                <w:szCs w:val="63"/>
                <w:b w:val="1"/>
                <w:bCs w:val="1"/>
                <w:color w:val="001E58"/>
                <w:w w:val="86"/>
              </w:rPr>
              <w:t xml:space="preserve"> 3</w:t>
            </w:r>
            <w:r>
              <w:rPr>
                <w:rFonts w:ascii="Arial" w:cs="Arial" w:eastAsia="Arial" w:hAnsi="Arial"/>
                <w:sz w:val="70"/>
                <w:szCs w:val="70"/>
                <w:b w:val="1"/>
                <w:bCs w:val="1"/>
                <w:color w:val="001E58"/>
                <w:w w:val="86"/>
                <w:vertAlign w:val="superscript"/>
              </w:rPr>
              <w:t>rd</w:t>
            </w:r>
            <w:r>
              <w:rPr>
                <w:rFonts w:ascii="Arial" w:cs="Arial" w:eastAsia="Arial" w:hAnsi="Arial"/>
                <w:sz w:val="63"/>
                <w:szCs w:val="63"/>
                <w:b w:val="1"/>
                <w:bCs w:val="1"/>
                <w:color w:val="001E58"/>
                <w:w w:val="86"/>
              </w:rPr>
              <w:t xml:space="preserve">   2</w:t>
            </w:r>
            <w:r>
              <w:rPr>
                <w:rFonts w:ascii="Arial" w:cs="Arial" w:eastAsia="Arial" w:hAnsi="Arial"/>
                <w:sz w:val="38"/>
                <w:szCs w:val="38"/>
                <w:b w:val="1"/>
                <w:bCs w:val="1"/>
                <w:color w:val="001E58"/>
                <w:w w:val="86"/>
              </w:rPr>
              <w:t>,</w:t>
            </w:r>
            <w:r>
              <w:rPr>
                <w:rFonts w:ascii="Arial" w:cs="Arial" w:eastAsia="Arial" w:hAnsi="Arial"/>
                <w:sz w:val="63"/>
                <w:szCs w:val="63"/>
                <w:b w:val="1"/>
                <w:bCs w:val="1"/>
                <w:color w:val="001E58"/>
                <w:w w:val="86"/>
              </w:rPr>
              <w:t>000</w:t>
            </w:r>
            <w:r>
              <w:rPr>
                <w:rFonts w:ascii="Arial" w:cs="Arial" w:eastAsia="Arial" w:hAnsi="Arial"/>
                <w:sz w:val="70"/>
                <w:szCs w:val="70"/>
                <w:b w:val="1"/>
                <w:bCs w:val="1"/>
                <w:color w:val="001E58"/>
                <w:w w:val="86"/>
                <w:vertAlign w:val="superscript"/>
              </w:rPr>
              <w:t>+</w:t>
            </w:r>
          </w:p>
        </w:tc>
        <w:tc>
          <w:tcPr>
            <w:tcW w:w="2720" w:type="dxa"/>
            <w:vAlign w:val="bottom"/>
            <w:gridSpan w:val="2"/>
          </w:tcPr>
          <w:p>
            <w:pPr>
              <w:ind w:left="980"/>
              <w:spacing w:after="0" w:line="649" w:lineRule="exact"/>
              <w:rPr>
                <w:sz w:val="20"/>
                <w:szCs w:val="20"/>
                <w:color w:val="auto"/>
              </w:rPr>
            </w:pPr>
            <w:r>
              <w:rPr>
                <w:rFonts w:ascii="Arial" w:cs="Arial" w:eastAsia="Arial" w:hAnsi="Arial"/>
                <w:sz w:val="63"/>
                <w:szCs w:val="63"/>
                <w:b w:val="1"/>
                <w:bCs w:val="1"/>
                <w:color w:val="001E58"/>
              </w:rPr>
              <w:t>25</w:t>
            </w:r>
            <w:r>
              <w:rPr>
                <w:rFonts w:ascii="Arial" w:cs="Arial" w:eastAsia="Arial" w:hAnsi="Arial"/>
                <w:sz w:val="35"/>
                <w:szCs w:val="35"/>
                <w:b w:val="1"/>
                <w:bCs w:val="1"/>
                <w:color w:val="001E58"/>
              </w:rPr>
              <w:t>%</w:t>
            </w:r>
          </w:p>
        </w:tc>
      </w:tr>
      <w:tr>
        <w:trPr>
          <w:trHeight w:val="184"/>
        </w:trPr>
        <w:tc>
          <w:tcPr>
            <w:tcW w:w="2660" w:type="dxa"/>
            <w:vAlign w:val="bottom"/>
            <w:gridSpan w:val="2"/>
          </w:tcPr>
          <w:p>
            <w:pPr>
              <w:spacing w:after="0" w:line="183" w:lineRule="exact"/>
              <w:rPr>
                <w:sz w:val="20"/>
                <w:szCs w:val="20"/>
                <w:color w:val="auto"/>
              </w:rPr>
            </w:pPr>
            <w:r>
              <w:rPr>
                <w:rFonts w:ascii="Arial" w:cs="Arial" w:eastAsia="Arial" w:hAnsi="Arial"/>
                <w:sz w:val="19"/>
                <w:szCs w:val="19"/>
                <w:color w:val="001E58"/>
              </w:rPr>
              <w:t>inland marine hybrid</w:t>
            </w:r>
          </w:p>
        </w:tc>
        <w:tc>
          <w:tcPr>
            <w:tcW w:w="1380" w:type="dxa"/>
            <w:vAlign w:val="bottom"/>
          </w:tcPr>
          <w:p>
            <w:pPr>
              <w:spacing w:after="0"/>
              <w:rPr>
                <w:sz w:val="15"/>
                <w:szCs w:val="15"/>
                <w:color w:val="auto"/>
              </w:rPr>
            </w:pPr>
          </w:p>
        </w:tc>
        <w:tc>
          <w:tcPr>
            <w:tcW w:w="2720" w:type="dxa"/>
            <w:vAlign w:val="bottom"/>
            <w:gridSpan w:val="2"/>
          </w:tcPr>
          <w:p>
            <w:pPr>
              <w:ind w:left="980"/>
              <w:spacing w:after="0" w:line="183" w:lineRule="exact"/>
              <w:rPr>
                <w:sz w:val="20"/>
                <w:szCs w:val="20"/>
                <w:color w:val="auto"/>
              </w:rPr>
            </w:pPr>
            <w:r>
              <w:rPr>
                <w:rFonts w:ascii="Arial" w:cs="Arial" w:eastAsia="Arial" w:hAnsi="Arial"/>
                <w:sz w:val="19"/>
                <w:szCs w:val="19"/>
                <w:color w:val="001E58"/>
              </w:rPr>
              <w:t>reduction per barrel</w:t>
            </w:r>
          </w:p>
        </w:tc>
      </w:tr>
      <w:tr>
        <w:trPr>
          <w:trHeight w:val="287"/>
        </w:trPr>
        <w:tc>
          <w:tcPr>
            <w:tcW w:w="2660" w:type="dxa"/>
            <w:vAlign w:val="bottom"/>
            <w:gridSpan w:val="2"/>
          </w:tcPr>
          <w:p>
            <w:pPr>
              <w:spacing w:after="0"/>
              <w:rPr>
                <w:sz w:val="20"/>
                <w:szCs w:val="20"/>
                <w:color w:val="auto"/>
              </w:rPr>
            </w:pPr>
            <w:r>
              <w:rPr>
                <w:rFonts w:ascii="Arial" w:cs="Arial" w:eastAsia="Arial" w:hAnsi="Arial"/>
                <w:sz w:val="19"/>
                <w:szCs w:val="19"/>
                <w:color w:val="001E58"/>
              </w:rPr>
              <w:t>diesel-electric towboat</w:t>
            </w:r>
          </w:p>
        </w:tc>
        <w:tc>
          <w:tcPr>
            <w:tcW w:w="1380" w:type="dxa"/>
            <w:vAlign w:val="bottom"/>
          </w:tcPr>
          <w:p>
            <w:pPr>
              <w:spacing w:after="0"/>
              <w:rPr>
                <w:sz w:val="24"/>
                <w:szCs w:val="24"/>
                <w:color w:val="auto"/>
              </w:rPr>
            </w:pPr>
          </w:p>
        </w:tc>
        <w:tc>
          <w:tcPr>
            <w:tcW w:w="2720" w:type="dxa"/>
            <w:vAlign w:val="bottom"/>
            <w:gridSpan w:val="2"/>
          </w:tcPr>
          <w:p>
            <w:pPr>
              <w:ind w:left="980"/>
              <w:spacing w:after="0"/>
              <w:rPr>
                <w:sz w:val="20"/>
                <w:szCs w:val="20"/>
                <w:color w:val="auto"/>
              </w:rPr>
            </w:pPr>
            <w:r>
              <w:rPr>
                <w:rFonts w:ascii="Arial" w:cs="Arial" w:eastAsia="Arial" w:hAnsi="Arial"/>
                <w:sz w:val="19"/>
                <w:szCs w:val="19"/>
                <w:color w:val="001E58"/>
                <w:w w:val="88"/>
              </w:rPr>
              <w:t xml:space="preserve">of capacity </w:t>
            </w:r>
            <w:r>
              <w:rPr>
                <w:rFonts w:ascii="Arial" w:cs="Arial" w:eastAsia="Arial" w:hAnsi="Arial"/>
                <w:sz w:val="19"/>
                <w:szCs w:val="19"/>
                <w:b w:val="1"/>
                <w:bCs w:val="1"/>
                <w:color w:val="001E58"/>
                <w:w w:val="88"/>
              </w:rPr>
              <w:t>ACHIEVED</w:t>
            </w:r>
          </w:p>
        </w:tc>
      </w:tr>
      <w:tr>
        <w:trPr>
          <w:trHeight w:val="209"/>
        </w:trPr>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20" w:type="dxa"/>
            <w:vAlign w:val="bottom"/>
            <w:gridSpan w:val="2"/>
          </w:tcPr>
          <w:p>
            <w:pPr>
              <w:ind w:left="980"/>
              <w:spacing w:after="0"/>
              <w:rPr>
                <w:sz w:val="20"/>
                <w:szCs w:val="20"/>
                <w:color w:val="auto"/>
              </w:rPr>
            </w:pPr>
            <w:r>
              <w:rPr>
                <w:rFonts w:ascii="Arial" w:cs="Arial" w:eastAsia="Arial" w:hAnsi="Arial"/>
                <w:sz w:val="12"/>
                <w:szCs w:val="12"/>
                <w:color w:val="001E58"/>
              </w:rPr>
              <w:t>(vs. 2015 baseline)</w:t>
            </w:r>
          </w:p>
        </w:tc>
      </w:tr>
      <w:tr>
        <w:trPr>
          <w:trHeight w:val="75"/>
        </w:trPr>
        <w:tc>
          <w:tcPr>
            <w:tcW w:w="1620" w:type="dxa"/>
            <w:vAlign w:val="bottom"/>
            <w:tcBorders>
              <w:bottom w:val="single" w:sz="8" w:color="00712E"/>
            </w:tcBorders>
          </w:tcPr>
          <w:p>
            <w:pPr>
              <w:spacing w:after="0"/>
              <w:rPr>
                <w:sz w:val="6"/>
                <w:szCs w:val="6"/>
                <w:color w:val="auto"/>
              </w:rPr>
            </w:pPr>
          </w:p>
        </w:tc>
        <w:tc>
          <w:tcPr>
            <w:tcW w:w="1040" w:type="dxa"/>
            <w:vAlign w:val="bottom"/>
            <w:tcBorders>
              <w:bottom w:val="single" w:sz="8" w:color="00712E"/>
            </w:tcBorders>
          </w:tcPr>
          <w:p>
            <w:pPr>
              <w:spacing w:after="0"/>
              <w:rPr>
                <w:sz w:val="6"/>
                <w:szCs w:val="6"/>
                <w:color w:val="auto"/>
              </w:rPr>
            </w:pPr>
          </w:p>
        </w:tc>
        <w:tc>
          <w:tcPr>
            <w:tcW w:w="1380" w:type="dxa"/>
            <w:vAlign w:val="bottom"/>
            <w:tcBorders>
              <w:bottom w:val="single" w:sz="8" w:color="00712E"/>
            </w:tcBorders>
          </w:tcPr>
          <w:p>
            <w:pPr>
              <w:spacing w:after="0"/>
              <w:rPr>
                <w:sz w:val="6"/>
                <w:szCs w:val="6"/>
                <w:color w:val="auto"/>
              </w:rPr>
            </w:pPr>
          </w:p>
        </w:tc>
        <w:tc>
          <w:tcPr>
            <w:tcW w:w="1500" w:type="dxa"/>
            <w:vAlign w:val="bottom"/>
            <w:tcBorders>
              <w:bottom w:val="single" w:sz="8" w:color="00712E"/>
            </w:tcBorders>
          </w:tcPr>
          <w:p>
            <w:pPr>
              <w:spacing w:after="0"/>
              <w:rPr>
                <w:sz w:val="6"/>
                <w:szCs w:val="6"/>
                <w:color w:val="auto"/>
              </w:rPr>
            </w:pPr>
          </w:p>
        </w:tc>
        <w:tc>
          <w:tcPr>
            <w:tcW w:w="1220" w:type="dxa"/>
            <w:vAlign w:val="bottom"/>
            <w:tcBorders>
              <w:bottom w:val="single" w:sz="8" w:color="00712E"/>
            </w:tcBorders>
          </w:tcPr>
          <w:p>
            <w:pPr>
              <w:spacing w:after="0"/>
              <w:rPr>
                <w:sz w:val="6"/>
                <w:szCs w:val="6"/>
                <w:color w:val="auto"/>
              </w:rPr>
            </w:pPr>
          </w:p>
        </w:tc>
      </w:tr>
      <w:tr>
        <w:trPr>
          <w:trHeight w:val="315"/>
        </w:trPr>
        <w:tc>
          <w:tcPr>
            <w:tcW w:w="1620" w:type="dxa"/>
            <w:vAlign w:val="bottom"/>
          </w:tcPr>
          <w:p>
            <w:pPr>
              <w:spacing w:after="0"/>
              <w:rPr>
                <w:sz w:val="20"/>
                <w:szCs w:val="20"/>
                <w:color w:val="auto"/>
              </w:rPr>
            </w:pPr>
            <w:r>
              <w:rPr>
                <w:rFonts w:ascii="Arial" w:cs="Arial" w:eastAsia="Arial" w:hAnsi="Arial"/>
                <w:sz w:val="18"/>
                <w:szCs w:val="18"/>
                <w:b w:val="1"/>
                <w:bCs w:val="1"/>
                <w:color w:val="00712E"/>
                <w:w w:val="80"/>
              </w:rPr>
              <w:t>COMPANY DIVERSITY:</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23"/>
        </w:trPr>
        <w:tc>
          <w:tcPr>
            <w:tcW w:w="1620" w:type="dxa"/>
            <w:vAlign w:val="bottom"/>
          </w:tcPr>
          <w:p>
            <w:pPr>
              <w:spacing w:after="0"/>
              <w:rPr>
                <w:sz w:val="20"/>
                <w:szCs w:val="20"/>
                <w:color w:val="auto"/>
              </w:rPr>
            </w:pPr>
            <w:r>
              <w:rPr>
                <w:rFonts w:ascii="Arial" w:cs="Arial" w:eastAsia="Arial" w:hAnsi="Arial"/>
                <w:sz w:val="48"/>
                <w:szCs w:val="48"/>
                <w:b w:val="1"/>
                <w:bCs w:val="1"/>
                <w:color w:val="001E58"/>
              </w:rPr>
              <w:t>56</w:t>
            </w:r>
            <w:r>
              <w:rPr>
                <w:rFonts w:ascii="Arial" w:cs="Arial" w:eastAsia="Arial" w:hAnsi="Arial"/>
                <w:sz w:val="27"/>
                <w:szCs w:val="27"/>
                <w:b w:val="1"/>
                <w:bCs w:val="1"/>
                <w:color w:val="001E58"/>
              </w:rPr>
              <w:t>%</w:t>
            </w:r>
          </w:p>
        </w:tc>
        <w:tc>
          <w:tcPr>
            <w:tcW w:w="1040" w:type="dxa"/>
            <w:vAlign w:val="bottom"/>
          </w:tcPr>
          <w:p>
            <w:pPr>
              <w:ind w:left="40"/>
              <w:spacing w:after="0"/>
              <w:rPr>
                <w:sz w:val="20"/>
                <w:szCs w:val="20"/>
                <w:color w:val="auto"/>
              </w:rPr>
            </w:pPr>
            <w:r>
              <w:rPr>
                <w:rFonts w:ascii="Arial" w:cs="Arial" w:eastAsia="Arial" w:hAnsi="Arial"/>
                <w:sz w:val="48"/>
                <w:szCs w:val="48"/>
                <w:b w:val="1"/>
                <w:bCs w:val="1"/>
                <w:color w:val="001E58"/>
              </w:rPr>
              <w:t>64</w:t>
            </w:r>
            <w:r>
              <w:rPr>
                <w:rFonts w:ascii="Arial" w:cs="Arial" w:eastAsia="Arial" w:hAnsi="Arial"/>
                <w:sz w:val="27"/>
                <w:szCs w:val="27"/>
                <w:b w:val="1"/>
                <w:bCs w:val="1"/>
                <w:color w:val="001E58"/>
              </w:rPr>
              <w:t>%</w:t>
            </w:r>
          </w:p>
        </w:tc>
        <w:tc>
          <w:tcPr>
            <w:tcW w:w="1380" w:type="dxa"/>
            <w:vAlign w:val="bottom"/>
          </w:tcPr>
          <w:p>
            <w:pPr>
              <w:ind w:left="200"/>
              <w:spacing w:after="0"/>
              <w:rPr>
                <w:sz w:val="20"/>
                <w:szCs w:val="20"/>
                <w:color w:val="auto"/>
              </w:rPr>
            </w:pPr>
            <w:r>
              <w:rPr>
                <w:rFonts w:ascii="Arial" w:cs="Arial" w:eastAsia="Arial" w:hAnsi="Arial"/>
                <w:sz w:val="48"/>
                <w:szCs w:val="48"/>
                <w:b w:val="1"/>
                <w:bCs w:val="1"/>
                <w:color w:val="001E58"/>
              </w:rPr>
              <w:t xml:space="preserve">17 </w:t>
            </w:r>
            <w:r>
              <w:rPr>
                <w:rFonts w:ascii="Arial" w:cs="Arial" w:eastAsia="Arial" w:hAnsi="Arial"/>
                <w:sz w:val="27"/>
                <w:szCs w:val="27"/>
                <w:b w:val="1"/>
                <w:bCs w:val="1"/>
                <w:color w:val="001E58"/>
              </w:rPr>
              <w:t>%</w:t>
            </w:r>
          </w:p>
        </w:tc>
        <w:tc>
          <w:tcPr>
            <w:tcW w:w="1500" w:type="dxa"/>
            <w:vAlign w:val="bottom"/>
          </w:tcPr>
          <w:p>
            <w:pPr>
              <w:ind w:left="20"/>
              <w:spacing w:after="0"/>
              <w:rPr>
                <w:sz w:val="20"/>
                <w:szCs w:val="20"/>
                <w:color w:val="auto"/>
              </w:rPr>
            </w:pPr>
            <w:r>
              <w:rPr>
                <w:rFonts w:ascii="Arial" w:cs="Arial" w:eastAsia="Arial" w:hAnsi="Arial"/>
                <w:sz w:val="48"/>
                <w:szCs w:val="48"/>
                <w:b w:val="1"/>
                <w:bCs w:val="1"/>
                <w:color w:val="001E58"/>
              </w:rPr>
              <w:t>12</w:t>
            </w:r>
            <w:r>
              <w:rPr>
                <w:rFonts w:ascii="Arial" w:cs="Arial" w:eastAsia="Arial" w:hAnsi="Arial"/>
                <w:sz w:val="27"/>
                <w:szCs w:val="27"/>
                <w:b w:val="1"/>
                <w:bCs w:val="1"/>
                <w:color w:val="001E58"/>
              </w:rPr>
              <w:t>%</w:t>
            </w:r>
          </w:p>
        </w:tc>
        <w:tc>
          <w:tcPr>
            <w:tcW w:w="1220" w:type="dxa"/>
            <w:vAlign w:val="bottom"/>
          </w:tcPr>
          <w:p>
            <w:pPr>
              <w:ind w:left="180"/>
              <w:spacing w:after="0"/>
              <w:rPr>
                <w:sz w:val="20"/>
                <w:szCs w:val="20"/>
                <w:color w:val="auto"/>
              </w:rPr>
            </w:pPr>
            <w:r>
              <w:rPr>
                <w:rFonts w:ascii="Arial" w:cs="Arial" w:eastAsia="Arial" w:hAnsi="Arial"/>
                <w:sz w:val="48"/>
                <w:szCs w:val="48"/>
                <w:b w:val="1"/>
                <w:bCs w:val="1"/>
                <w:color w:val="001E58"/>
              </w:rPr>
              <w:t>7</w:t>
            </w:r>
            <w:r>
              <w:rPr>
                <w:rFonts w:ascii="Arial" w:cs="Arial" w:eastAsia="Arial" w:hAnsi="Arial"/>
                <w:sz w:val="27"/>
                <w:szCs w:val="27"/>
                <w:b w:val="1"/>
                <w:bCs w:val="1"/>
                <w:color w:val="001E58"/>
              </w:rPr>
              <w:t>%</w:t>
            </w:r>
          </w:p>
        </w:tc>
      </w:tr>
      <w:tr>
        <w:trPr>
          <w:trHeight w:val="200"/>
        </w:trPr>
        <w:tc>
          <w:tcPr>
            <w:tcW w:w="1620" w:type="dxa"/>
            <w:vAlign w:val="bottom"/>
          </w:tcPr>
          <w:p>
            <w:pPr>
              <w:spacing w:after="0"/>
              <w:rPr>
                <w:sz w:val="20"/>
                <w:szCs w:val="20"/>
                <w:color w:val="auto"/>
              </w:rPr>
            </w:pPr>
            <w:r>
              <w:rPr>
                <w:rFonts w:ascii="Arial" w:cs="Arial" w:eastAsia="Arial" w:hAnsi="Arial"/>
                <w:sz w:val="17"/>
                <w:szCs w:val="17"/>
                <w:color w:val="00712E"/>
              </w:rPr>
              <w:t>Diverse Directors</w:t>
            </w:r>
          </w:p>
        </w:tc>
        <w:tc>
          <w:tcPr>
            <w:tcW w:w="1040" w:type="dxa"/>
            <w:vAlign w:val="bottom"/>
          </w:tcPr>
          <w:p>
            <w:pPr>
              <w:ind w:left="40"/>
              <w:spacing w:after="0"/>
              <w:rPr>
                <w:sz w:val="20"/>
                <w:szCs w:val="20"/>
                <w:color w:val="auto"/>
              </w:rPr>
            </w:pPr>
            <w:r>
              <w:rPr>
                <w:rFonts w:ascii="Arial" w:cs="Arial" w:eastAsia="Arial" w:hAnsi="Arial"/>
                <w:sz w:val="17"/>
                <w:szCs w:val="17"/>
                <w:color w:val="00712E"/>
              </w:rPr>
              <w:t>White</w:t>
            </w:r>
          </w:p>
        </w:tc>
        <w:tc>
          <w:tcPr>
            <w:tcW w:w="1380" w:type="dxa"/>
            <w:vAlign w:val="bottom"/>
          </w:tcPr>
          <w:p>
            <w:pPr>
              <w:ind w:left="200"/>
              <w:spacing w:after="0"/>
              <w:rPr>
                <w:sz w:val="20"/>
                <w:szCs w:val="20"/>
                <w:color w:val="auto"/>
              </w:rPr>
            </w:pPr>
            <w:r>
              <w:rPr>
                <w:rFonts w:ascii="Arial" w:cs="Arial" w:eastAsia="Arial" w:hAnsi="Arial"/>
                <w:sz w:val="17"/>
                <w:szCs w:val="17"/>
                <w:color w:val="00712E"/>
              </w:rPr>
              <w:t>Hispanic</w:t>
            </w:r>
          </w:p>
        </w:tc>
        <w:tc>
          <w:tcPr>
            <w:tcW w:w="1500" w:type="dxa"/>
            <w:vAlign w:val="bottom"/>
          </w:tcPr>
          <w:p>
            <w:pPr>
              <w:ind w:left="20"/>
              <w:spacing w:after="0"/>
              <w:rPr>
                <w:sz w:val="20"/>
                <w:szCs w:val="20"/>
                <w:color w:val="auto"/>
              </w:rPr>
            </w:pPr>
            <w:r>
              <w:rPr>
                <w:rFonts w:ascii="Arial" w:cs="Arial" w:eastAsia="Arial" w:hAnsi="Arial"/>
                <w:sz w:val="17"/>
                <w:szCs w:val="17"/>
                <w:color w:val="00712E"/>
              </w:rPr>
              <w:t>African American</w:t>
            </w:r>
          </w:p>
        </w:tc>
        <w:tc>
          <w:tcPr>
            <w:tcW w:w="1220" w:type="dxa"/>
            <w:vAlign w:val="bottom"/>
          </w:tcPr>
          <w:p>
            <w:pPr>
              <w:ind w:left="180"/>
              <w:spacing w:after="0"/>
              <w:rPr>
                <w:sz w:val="20"/>
                <w:szCs w:val="20"/>
                <w:color w:val="auto"/>
              </w:rPr>
            </w:pPr>
            <w:r>
              <w:rPr>
                <w:rFonts w:ascii="Arial" w:cs="Arial" w:eastAsia="Arial" w:hAnsi="Arial"/>
                <w:sz w:val="17"/>
                <w:szCs w:val="17"/>
                <w:color w:val="00712E"/>
              </w:rPr>
              <w:t>Other</w:t>
            </w:r>
          </w:p>
        </w:tc>
      </w:tr>
      <w:tr>
        <w:trPr>
          <w:trHeight w:val="210"/>
        </w:trPr>
        <w:tc>
          <w:tcPr>
            <w:tcW w:w="1620" w:type="dxa"/>
            <w:vAlign w:val="bottom"/>
          </w:tcPr>
          <w:p>
            <w:pPr>
              <w:spacing w:after="0"/>
              <w:rPr>
                <w:sz w:val="20"/>
                <w:szCs w:val="20"/>
                <w:color w:val="auto"/>
              </w:rPr>
            </w:pPr>
            <w:r>
              <w:rPr>
                <w:rFonts w:ascii="Arial" w:cs="Arial" w:eastAsia="Arial" w:hAnsi="Arial"/>
                <w:sz w:val="17"/>
                <w:szCs w:val="17"/>
                <w:color w:val="00712E"/>
              </w:rPr>
              <w:t>on the Board</w:t>
            </w:r>
          </w:p>
        </w:tc>
        <w:tc>
          <w:tcPr>
            <w:tcW w:w="1040" w:type="dxa"/>
            <w:vAlign w:val="bottom"/>
          </w:tcPr>
          <w:p>
            <w:pPr>
              <w:ind w:left="40"/>
              <w:spacing w:after="0"/>
              <w:rPr>
                <w:sz w:val="20"/>
                <w:szCs w:val="20"/>
                <w:color w:val="auto"/>
              </w:rPr>
            </w:pPr>
            <w:r>
              <w:rPr>
                <w:rFonts w:ascii="Arial" w:cs="Arial" w:eastAsia="Arial" w:hAnsi="Arial"/>
                <w:sz w:val="17"/>
                <w:szCs w:val="17"/>
                <w:color w:val="00712E"/>
              </w:rPr>
              <w:t>Employees</w:t>
            </w:r>
          </w:p>
        </w:tc>
        <w:tc>
          <w:tcPr>
            <w:tcW w:w="1380" w:type="dxa"/>
            <w:vAlign w:val="bottom"/>
          </w:tcPr>
          <w:p>
            <w:pPr>
              <w:ind w:left="200"/>
              <w:spacing w:after="0"/>
              <w:rPr>
                <w:sz w:val="20"/>
                <w:szCs w:val="20"/>
                <w:color w:val="auto"/>
              </w:rPr>
            </w:pPr>
            <w:r>
              <w:rPr>
                <w:rFonts w:ascii="Arial" w:cs="Arial" w:eastAsia="Arial" w:hAnsi="Arial"/>
                <w:sz w:val="17"/>
                <w:szCs w:val="17"/>
                <w:color w:val="00712E"/>
              </w:rPr>
              <w:t>Employees</w:t>
            </w:r>
          </w:p>
        </w:tc>
        <w:tc>
          <w:tcPr>
            <w:tcW w:w="1500" w:type="dxa"/>
            <w:vAlign w:val="bottom"/>
          </w:tcPr>
          <w:p>
            <w:pPr>
              <w:ind w:left="20"/>
              <w:spacing w:after="0"/>
              <w:rPr>
                <w:sz w:val="20"/>
                <w:szCs w:val="20"/>
                <w:color w:val="auto"/>
              </w:rPr>
            </w:pPr>
            <w:r>
              <w:rPr>
                <w:rFonts w:ascii="Arial" w:cs="Arial" w:eastAsia="Arial" w:hAnsi="Arial"/>
                <w:sz w:val="17"/>
                <w:szCs w:val="17"/>
                <w:color w:val="00712E"/>
              </w:rPr>
              <w:t>Employees</w:t>
            </w:r>
          </w:p>
        </w:tc>
        <w:tc>
          <w:tcPr>
            <w:tcW w:w="1220" w:type="dxa"/>
            <w:vAlign w:val="bottom"/>
          </w:tcPr>
          <w:p>
            <w:pPr>
              <w:ind w:left="180"/>
              <w:spacing w:after="0"/>
              <w:rPr>
                <w:sz w:val="20"/>
                <w:szCs w:val="20"/>
                <w:color w:val="auto"/>
              </w:rPr>
            </w:pPr>
            <w:r>
              <w:rPr>
                <w:rFonts w:ascii="Arial" w:cs="Arial" w:eastAsia="Arial" w:hAnsi="Arial"/>
                <w:sz w:val="17"/>
                <w:szCs w:val="17"/>
                <w:color w:val="00712E"/>
              </w:rPr>
              <w:t>Employees</w:t>
            </w:r>
          </w:p>
        </w:tc>
      </w:tr>
    </w:tbl>
    <w:p>
      <w:pPr>
        <w:spacing w:after="0" w:line="200" w:lineRule="exact"/>
        <w:rPr>
          <w:sz w:val="20"/>
          <w:szCs w:val="20"/>
          <w:color w:val="auto"/>
        </w:rPr>
      </w:pPr>
    </w:p>
    <w:p>
      <w:pPr>
        <w:sectPr>
          <w:pgSz w:w="12240" w:h="15840" w:orient="portrait"/>
          <w:cols w:equalWidth="0" w:num="2">
            <w:col w:w="3060" w:space="380"/>
            <w:col w:w="6760"/>
          </w:cols>
          <w:pgMar w:left="1440" w:top="1440" w:right="600" w:bottom="0" w:gutter="0" w:footer="0" w:header="0"/>
          <w:type w:val="continuous"/>
        </w:sectPr>
      </w:pPr>
    </w:p>
    <w:p>
      <w:pPr>
        <w:spacing w:after="0" w:line="14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00712E"/>
        </w:rPr>
        <w:t>2025 SAFETY HIGHLIGHTS:</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1"/>
        </w:trPr>
        <w:tc>
          <w:tcPr>
            <w:tcW w:w="4140" w:type="dxa"/>
            <w:vAlign w:val="bottom"/>
            <w:tcBorders>
              <w:right w:val="single" w:sz="8" w:color="00712E"/>
            </w:tcBorders>
            <w:gridSpan w:val="3"/>
          </w:tcPr>
          <w:p>
            <w:pPr>
              <w:spacing w:after="0"/>
              <w:rPr>
                <w:sz w:val="20"/>
                <w:szCs w:val="20"/>
                <w:color w:val="auto"/>
              </w:rPr>
            </w:pPr>
            <w:r>
              <w:rPr>
                <w:rFonts w:ascii="Arial" w:cs="Arial" w:eastAsia="Arial" w:hAnsi="Arial"/>
                <w:sz w:val="14"/>
                <w:szCs w:val="14"/>
                <w:b w:val="1"/>
                <w:bCs w:val="1"/>
                <w:color w:val="4C4C4C"/>
              </w:rPr>
              <w:t>MARINE TRANSPORTATION SAFETY:</w:t>
            </w:r>
          </w:p>
        </w:tc>
        <w:tc>
          <w:tcPr>
            <w:tcW w:w="2520" w:type="dxa"/>
            <w:vAlign w:val="bottom"/>
          </w:tcPr>
          <w:p>
            <w:pPr>
              <w:ind w:left="320"/>
              <w:spacing w:after="0"/>
              <w:rPr>
                <w:sz w:val="20"/>
                <w:szCs w:val="20"/>
                <w:color w:val="auto"/>
              </w:rPr>
            </w:pPr>
            <w:r>
              <w:rPr>
                <w:rFonts w:ascii="Arial" w:cs="Arial" w:eastAsia="Arial" w:hAnsi="Arial"/>
                <w:sz w:val="14"/>
                <w:szCs w:val="14"/>
                <w:b w:val="1"/>
                <w:bCs w:val="1"/>
                <w:color w:val="4C4C4C"/>
                <w:w w:val="80"/>
              </w:rPr>
              <w:t>DISTRIBUTION AND SERVICES SAFETY:</w:t>
            </w:r>
          </w:p>
        </w:tc>
        <w:tc>
          <w:tcPr>
            <w:tcW w:w="0" w:type="dxa"/>
            <w:vAlign w:val="bottom"/>
          </w:tcPr>
          <w:p>
            <w:pPr>
              <w:spacing w:after="0"/>
              <w:rPr>
                <w:sz w:val="1"/>
                <w:szCs w:val="1"/>
                <w:color w:val="auto"/>
              </w:rPr>
            </w:pPr>
          </w:p>
        </w:tc>
      </w:tr>
      <w:tr>
        <w:trPr>
          <w:trHeight w:val="274"/>
        </w:trPr>
        <w:tc>
          <w:tcPr>
            <w:tcW w:w="1740" w:type="dxa"/>
            <w:vAlign w:val="bottom"/>
            <w:gridSpan w:val="2"/>
          </w:tcPr>
          <w:p>
            <w:pPr>
              <w:spacing w:after="0"/>
              <w:rPr>
                <w:sz w:val="20"/>
                <w:szCs w:val="20"/>
                <w:color w:val="auto"/>
              </w:rPr>
            </w:pPr>
            <w:r>
              <w:rPr>
                <w:rFonts w:ascii="Arial" w:cs="Arial" w:eastAsia="Arial" w:hAnsi="Arial"/>
                <w:sz w:val="19"/>
                <w:szCs w:val="19"/>
                <w:b w:val="1"/>
                <w:bCs w:val="1"/>
                <w:color w:val="00712E"/>
              </w:rPr>
              <w:t xml:space="preserve">REDUCED </w:t>
            </w:r>
            <w:r>
              <w:rPr>
                <w:rFonts w:ascii="Arial" w:cs="Arial" w:eastAsia="Arial" w:hAnsi="Arial"/>
                <w:sz w:val="19"/>
                <w:szCs w:val="19"/>
                <w:color w:val="00712E"/>
              </w:rPr>
              <w:t>Injury</w:t>
            </w:r>
          </w:p>
        </w:tc>
        <w:tc>
          <w:tcPr>
            <w:tcW w:w="2400" w:type="dxa"/>
            <w:vAlign w:val="bottom"/>
            <w:tcBorders>
              <w:right w:val="single" w:sz="8" w:color="00712E"/>
            </w:tcBorders>
            <w:vMerge w:val="restart"/>
          </w:tcPr>
          <w:p>
            <w:pPr>
              <w:ind w:left="200"/>
              <w:spacing w:after="0"/>
              <w:rPr>
                <w:sz w:val="20"/>
                <w:szCs w:val="20"/>
                <w:color w:val="auto"/>
              </w:rPr>
            </w:pPr>
            <w:r>
              <w:rPr>
                <w:rFonts w:ascii="Arial" w:cs="Arial" w:eastAsia="Arial" w:hAnsi="Arial"/>
                <w:sz w:val="52"/>
                <w:szCs w:val="52"/>
                <w:b w:val="1"/>
                <w:bCs w:val="1"/>
                <w:color w:val="001E58"/>
              </w:rPr>
              <w:t>Lowest</w:t>
            </w:r>
          </w:p>
        </w:tc>
        <w:tc>
          <w:tcPr>
            <w:tcW w:w="2520" w:type="dxa"/>
            <w:vAlign w:val="bottom"/>
          </w:tcPr>
          <w:p>
            <w:pPr>
              <w:ind w:left="360"/>
              <w:spacing w:after="0"/>
              <w:rPr>
                <w:sz w:val="20"/>
                <w:szCs w:val="20"/>
                <w:color w:val="auto"/>
              </w:rPr>
            </w:pPr>
            <w:r>
              <w:rPr>
                <w:rFonts w:ascii="Arial" w:cs="Arial" w:eastAsia="Arial" w:hAnsi="Arial"/>
                <w:sz w:val="19"/>
                <w:szCs w:val="19"/>
                <w:color w:val="00712E"/>
              </w:rPr>
              <w:t>Manufacturing</w:t>
            </w:r>
          </w:p>
        </w:tc>
        <w:tc>
          <w:tcPr>
            <w:tcW w:w="0" w:type="dxa"/>
            <w:vAlign w:val="bottom"/>
          </w:tcPr>
          <w:p>
            <w:pPr>
              <w:spacing w:after="0"/>
              <w:rPr>
                <w:sz w:val="1"/>
                <w:szCs w:val="1"/>
                <w:color w:val="auto"/>
              </w:rPr>
            </w:pPr>
          </w:p>
        </w:tc>
      </w:tr>
      <w:tr>
        <w:trPr>
          <w:trHeight w:val="443"/>
        </w:trPr>
        <w:tc>
          <w:tcPr>
            <w:tcW w:w="1740" w:type="dxa"/>
            <w:vAlign w:val="bottom"/>
            <w:gridSpan w:val="2"/>
          </w:tcPr>
          <w:p>
            <w:pPr>
              <w:spacing w:after="0"/>
              <w:rPr>
                <w:sz w:val="20"/>
                <w:szCs w:val="20"/>
                <w:color w:val="auto"/>
              </w:rPr>
            </w:pPr>
            <w:r>
              <w:rPr>
                <w:rFonts w:ascii="Arial" w:cs="Arial" w:eastAsia="Arial" w:hAnsi="Arial"/>
                <w:sz w:val="19"/>
                <w:szCs w:val="19"/>
                <w:color w:val="00712E"/>
              </w:rPr>
              <w:t>Rate by more than</w:t>
            </w:r>
          </w:p>
        </w:tc>
        <w:tc>
          <w:tcPr>
            <w:tcW w:w="2400" w:type="dxa"/>
            <w:vAlign w:val="bottom"/>
            <w:tcBorders>
              <w:right w:val="single" w:sz="8" w:color="00712E"/>
            </w:tcBorders>
            <w:vMerge w:val="continue"/>
          </w:tcPr>
          <w:p>
            <w:pPr>
              <w:spacing w:after="0"/>
              <w:rPr>
                <w:sz w:val="24"/>
                <w:szCs w:val="24"/>
                <w:color w:val="auto"/>
              </w:rPr>
            </w:pPr>
          </w:p>
        </w:tc>
        <w:tc>
          <w:tcPr>
            <w:tcW w:w="2520" w:type="dxa"/>
            <w:vAlign w:val="bottom"/>
          </w:tcPr>
          <w:p>
            <w:pPr>
              <w:ind w:left="360"/>
              <w:spacing w:after="0"/>
              <w:rPr>
                <w:sz w:val="20"/>
                <w:szCs w:val="20"/>
                <w:color w:val="auto"/>
              </w:rPr>
            </w:pPr>
            <w:r>
              <w:rPr>
                <w:rFonts w:ascii="Arial" w:cs="Arial" w:eastAsia="Arial" w:hAnsi="Arial"/>
                <w:sz w:val="19"/>
                <w:szCs w:val="19"/>
                <w:color w:val="00712E"/>
              </w:rPr>
              <w:t xml:space="preserve">operations </w:t>
            </w:r>
            <w:r>
              <w:rPr>
                <w:rFonts w:ascii="Arial" w:cs="Arial" w:eastAsia="Arial" w:hAnsi="Arial"/>
                <w:sz w:val="19"/>
                <w:szCs w:val="19"/>
                <w:b w:val="1"/>
                <w:bCs w:val="1"/>
                <w:color w:val="00712E"/>
              </w:rPr>
              <w:t>ACHIEVED:</w:t>
            </w:r>
          </w:p>
        </w:tc>
        <w:tc>
          <w:tcPr>
            <w:tcW w:w="0" w:type="dxa"/>
            <w:vAlign w:val="bottom"/>
          </w:tcPr>
          <w:p>
            <w:pPr>
              <w:spacing w:after="0"/>
              <w:rPr>
                <w:sz w:val="1"/>
                <w:szCs w:val="1"/>
                <w:color w:val="auto"/>
              </w:rPr>
            </w:pPr>
          </w:p>
        </w:tc>
      </w:tr>
      <w:tr>
        <w:trPr>
          <w:trHeight w:val="273"/>
        </w:trPr>
        <w:tc>
          <w:tcPr>
            <w:tcW w:w="660" w:type="dxa"/>
            <w:vAlign w:val="bottom"/>
            <w:vMerge w:val="restart"/>
          </w:tcPr>
          <w:p>
            <w:pPr>
              <w:spacing w:after="0" w:line="456" w:lineRule="exact"/>
              <w:rPr>
                <w:sz w:val="20"/>
                <w:szCs w:val="20"/>
                <w:color w:val="auto"/>
              </w:rPr>
            </w:pPr>
            <w:r>
              <w:rPr>
                <w:rFonts w:ascii="Arial" w:cs="Arial" w:eastAsia="Arial" w:hAnsi="Arial"/>
                <w:sz w:val="52"/>
                <w:szCs w:val="52"/>
                <w:b w:val="1"/>
                <w:bCs w:val="1"/>
                <w:color w:val="001E58"/>
              </w:rPr>
              <w:t>30</w:t>
            </w:r>
          </w:p>
        </w:tc>
        <w:tc>
          <w:tcPr>
            <w:tcW w:w="1080" w:type="dxa"/>
            <w:vAlign w:val="bottom"/>
          </w:tcPr>
          <w:p>
            <w:pPr>
              <w:jc w:val="right"/>
              <w:ind w:right="645"/>
              <w:spacing w:after="0" w:line="272" w:lineRule="exact"/>
              <w:rPr>
                <w:sz w:val="20"/>
                <w:szCs w:val="20"/>
                <w:color w:val="auto"/>
              </w:rPr>
            </w:pPr>
            <w:r>
              <w:rPr>
                <w:rFonts w:ascii="Arial" w:cs="Arial" w:eastAsia="Arial" w:hAnsi="Arial"/>
                <w:sz w:val="31"/>
                <w:szCs w:val="31"/>
                <w:b w:val="1"/>
                <w:bCs w:val="1"/>
                <w:color w:val="001E58"/>
                <w:w w:val="94"/>
              </w:rPr>
              <w:t>%</w:t>
            </w:r>
          </w:p>
        </w:tc>
        <w:tc>
          <w:tcPr>
            <w:tcW w:w="2400" w:type="dxa"/>
            <w:vAlign w:val="bottom"/>
            <w:tcBorders>
              <w:right w:val="single" w:sz="8" w:color="00712E"/>
            </w:tcBorders>
          </w:tcPr>
          <w:p>
            <w:pPr>
              <w:ind w:left="200"/>
              <w:spacing w:after="0"/>
              <w:rPr>
                <w:sz w:val="20"/>
                <w:szCs w:val="20"/>
                <w:color w:val="auto"/>
              </w:rPr>
            </w:pPr>
            <w:r>
              <w:rPr>
                <w:rFonts w:ascii="Arial" w:cs="Arial" w:eastAsia="Arial" w:hAnsi="Arial"/>
                <w:sz w:val="19"/>
                <w:szCs w:val="19"/>
                <w:color w:val="00712E"/>
              </w:rPr>
              <w:t>Recordable Injury Rate</w:t>
            </w:r>
          </w:p>
        </w:tc>
        <w:tc>
          <w:tcPr>
            <w:tcW w:w="2520" w:type="dxa"/>
            <w:vAlign w:val="bottom"/>
            <w:vMerge w:val="restart"/>
          </w:tcPr>
          <w:p>
            <w:pPr>
              <w:ind w:left="360"/>
              <w:spacing w:after="0" w:line="456" w:lineRule="exact"/>
              <w:rPr>
                <w:sz w:val="20"/>
                <w:szCs w:val="20"/>
                <w:color w:val="auto"/>
              </w:rPr>
            </w:pPr>
            <w:r>
              <w:rPr>
                <w:rFonts w:ascii="Arial" w:cs="Arial" w:eastAsia="Arial" w:hAnsi="Arial"/>
                <w:sz w:val="52"/>
                <w:szCs w:val="52"/>
                <w:b w:val="1"/>
                <w:bCs w:val="1"/>
                <w:color w:val="001E58"/>
              </w:rPr>
              <w:t>ZERO</w:t>
            </w:r>
          </w:p>
        </w:tc>
        <w:tc>
          <w:tcPr>
            <w:tcW w:w="0" w:type="dxa"/>
            <w:vAlign w:val="bottom"/>
          </w:tcPr>
          <w:p>
            <w:pPr>
              <w:spacing w:after="0"/>
              <w:rPr>
                <w:sz w:val="1"/>
                <w:szCs w:val="1"/>
                <w:color w:val="auto"/>
              </w:rPr>
            </w:pPr>
          </w:p>
        </w:tc>
      </w:tr>
      <w:tr>
        <w:trPr>
          <w:trHeight w:val="184"/>
        </w:trPr>
        <w:tc>
          <w:tcPr>
            <w:tcW w:w="6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2400" w:type="dxa"/>
            <w:vAlign w:val="bottom"/>
            <w:tcBorders>
              <w:right w:val="single" w:sz="8" w:color="00712E"/>
            </w:tcBorders>
          </w:tcPr>
          <w:p>
            <w:pPr>
              <w:ind w:left="200"/>
              <w:spacing w:after="0" w:line="183" w:lineRule="exact"/>
              <w:rPr>
                <w:sz w:val="20"/>
                <w:szCs w:val="20"/>
                <w:color w:val="auto"/>
              </w:rPr>
            </w:pPr>
            <w:r>
              <w:rPr>
                <w:rFonts w:ascii="Arial" w:cs="Arial" w:eastAsia="Arial" w:hAnsi="Arial"/>
                <w:sz w:val="19"/>
                <w:szCs w:val="19"/>
                <w:color w:val="00712E"/>
              </w:rPr>
              <w:t>in Kirby History</w:t>
            </w: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40" w:type="dxa"/>
            <w:vAlign w:val="bottom"/>
            <w:gridSpan w:val="2"/>
          </w:tcPr>
          <w:p>
            <w:pPr>
              <w:spacing w:after="0"/>
              <w:rPr>
                <w:sz w:val="20"/>
                <w:szCs w:val="20"/>
                <w:color w:val="auto"/>
              </w:rPr>
            </w:pPr>
            <w:r>
              <w:rPr>
                <w:rFonts w:ascii="Arial" w:cs="Arial" w:eastAsia="Arial" w:hAnsi="Arial"/>
                <w:sz w:val="19"/>
                <w:szCs w:val="19"/>
                <w:color w:val="001E58"/>
              </w:rPr>
              <w:t>year over year</w:t>
            </w:r>
          </w:p>
        </w:tc>
        <w:tc>
          <w:tcPr>
            <w:tcW w:w="2400" w:type="dxa"/>
            <w:vAlign w:val="bottom"/>
            <w:tcBorders>
              <w:right w:val="single" w:sz="8" w:color="00712E"/>
            </w:tcBorders>
          </w:tcPr>
          <w:p>
            <w:pPr>
              <w:spacing w:after="0"/>
              <w:rPr>
                <w:sz w:val="19"/>
                <w:szCs w:val="19"/>
                <w:color w:val="auto"/>
              </w:rPr>
            </w:pPr>
          </w:p>
        </w:tc>
        <w:tc>
          <w:tcPr>
            <w:tcW w:w="2520" w:type="dxa"/>
            <w:vAlign w:val="bottom"/>
          </w:tcPr>
          <w:p>
            <w:pPr>
              <w:ind w:left="360"/>
              <w:spacing w:after="0"/>
              <w:rPr>
                <w:sz w:val="20"/>
                <w:szCs w:val="20"/>
                <w:color w:val="auto"/>
              </w:rPr>
            </w:pPr>
            <w:r>
              <w:rPr>
                <w:rFonts w:ascii="Arial" w:cs="Arial" w:eastAsia="Arial" w:hAnsi="Arial"/>
                <w:sz w:val="19"/>
                <w:szCs w:val="19"/>
                <w:color w:val="001E58"/>
              </w:rPr>
              <w:t>recordable incidents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440" w:top="1440" w:right="600" w:bottom="0" w:gutter="0" w:footer="0" w:header="0"/>
          <w:type w:val="continuous"/>
        </w:sectPr>
      </w:pPr>
    </w:p>
    <w:p>
      <w:pPr>
        <w:spacing w:after="0" w:line="325" w:lineRule="exact"/>
        <w:rPr>
          <w:sz w:val="20"/>
          <w:szCs w:val="20"/>
          <w:color w:val="auto"/>
        </w:rPr>
      </w:pPr>
    </w:p>
    <w:p>
      <w:pPr>
        <w:ind w:left="7440"/>
        <w:spacing w:after="0"/>
        <w:tabs>
          <w:tab w:leader="none" w:pos="8460" w:val="left"/>
          <w:tab w:leader="none" w:pos="9880" w:val="left"/>
        </w:tabs>
        <w:rPr>
          <w:sz w:val="20"/>
          <w:szCs w:val="20"/>
          <w:color w:val="auto"/>
        </w:rPr>
      </w:pPr>
      <w:r>
        <w:rPr>
          <w:rFonts w:ascii="Arial" w:cs="Arial" w:eastAsia="Arial" w:hAnsi="Arial"/>
          <w:sz w:val="12"/>
          <w:szCs w:val="12"/>
          <w:b w:val="1"/>
          <w:bCs w:val="1"/>
          <w:color w:val="00712E"/>
        </w:rPr>
        <w:t>Kirby Corporation</w:t>
      </w:r>
      <w:r>
        <w:rPr>
          <w:sz w:val="20"/>
          <w:szCs w:val="20"/>
          <w:color w:val="auto"/>
        </w:rPr>
        <w:tab/>
      </w:r>
      <w:r>
        <w:rPr>
          <w:rFonts w:ascii="Arial" w:cs="Arial" w:eastAsia="Arial" w:hAnsi="Arial"/>
          <w:sz w:val="12"/>
          <w:szCs w:val="12"/>
          <w:color w:val="4C4C4C"/>
        </w:rPr>
        <w:t>2025 Annual Report</w:t>
      </w:r>
      <w:r>
        <w:rPr>
          <w:sz w:val="20"/>
          <w:szCs w:val="20"/>
          <w:color w:val="auto"/>
        </w:rPr>
        <w:tab/>
      </w:r>
      <w:r>
        <w:rPr>
          <w:rFonts w:ascii="Arial" w:cs="Arial" w:eastAsia="Arial" w:hAnsi="Arial"/>
          <w:sz w:val="16"/>
          <w:szCs w:val="16"/>
          <w:color w:val="00712E"/>
        </w:rPr>
        <w:t>9</w:t>
      </w:r>
    </w:p>
    <w:p>
      <w:pPr>
        <w:sectPr>
          <w:pgSz w:w="12240" w:h="15840" w:orient="portrait"/>
          <w:cols w:equalWidth="0" w:num="1">
            <w:col w:w="10200"/>
          </w:cols>
          <w:pgMar w:left="1440" w:top="1440" w:right="60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6"/>
          <w:szCs w:val="26"/>
          <w:b w:val="1"/>
          <w:bCs w:val="1"/>
          <w:color w:val="FFFFFF"/>
        </w:rPr>
        <w:t>Corporate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Anne-Marie N. Ainsworth </w:t>
      </w:r>
      <w:r>
        <w:rPr>
          <w:rFonts w:ascii="Arial" w:cs="Arial" w:eastAsia="Arial" w:hAnsi="Arial"/>
          <w:sz w:val="9"/>
          <w:szCs w:val="9"/>
          <w:color w:val="FFFFFF"/>
        </w:rPr>
        <w:t>1,3</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FFFFFF"/>
        </w:rPr>
        <w:t>Retired President and Chief Executive Officer of Oiltanking Partners, L.P. and of Oiltanking Holding Americas, Inc.</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2015</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Richard J. Alario </w:t>
      </w:r>
      <w:r>
        <w:rPr>
          <w:rFonts w:ascii="Arial" w:cs="Arial" w:eastAsia="Arial" w:hAnsi="Arial"/>
          <w:sz w:val="9"/>
          <w:szCs w:val="9"/>
          <w:color w:val="FFFFFF"/>
        </w:rPr>
        <w:t>2</w:t>
      </w:r>
    </w:p>
    <w:p>
      <w:pPr>
        <w:spacing w:after="0" w:line="40"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FFFFFF"/>
        </w:rPr>
        <w:t>Chairman of the Board, Kirby Chairman of the Board of DNOW Inc. Retired Chairman and Chief Executive Officer of Key Energy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2011</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Tanya S. Beder </w:t>
      </w:r>
      <w:r>
        <w:rPr>
          <w:rFonts w:ascii="Arial" w:cs="Arial" w:eastAsia="Arial" w:hAnsi="Arial"/>
          <w:sz w:val="9"/>
          <w:szCs w:val="9"/>
          <w:color w:val="FFFFFF"/>
        </w:rPr>
        <w:t>1,3</w:t>
      </w:r>
    </w:p>
    <w:p>
      <w:pPr>
        <w:spacing w:after="0" w:line="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FFFFFF"/>
        </w:rPr>
        <w:t>Chairman and Chief Executive Officer of SBCC Group, Inc.</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2019</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Barry E. Davis </w:t>
      </w:r>
      <w:r>
        <w:rPr>
          <w:rFonts w:ascii="Arial" w:cs="Arial" w:eastAsia="Arial" w:hAnsi="Arial"/>
          <w:sz w:val="9"/>
          <w:szCs w:val="9"/>
          <w:color w:val="FFFFFF"/>
        </w:rPr>
        <w:t>1,2</w:t>
      </w:r>
    </w:p>
    <w:p>
      <w:pPr>
        <w:spacing w:after="0" w:line="9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FFFFFF"/>
        </w:rPr>
        <w:t>Chairman, Pattern Energy Group LP Retired Chairman and Chief Executive Officer of EnLink Midstream GP, LLC and EnLink Midstream Manager,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2015</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Susan W. Dio </w:t>
      </w:r>
      <w:r>
        <w:rPr>
          <w:rFonts w:ascii="Arial" w:cs="Arial" w:eastAsia="Arial" w:hAnsi="Arial"/>
          <w:sz w:val="9"/>
          <w:szCs w:val="9"/>
          <w:color w:val="FFFFFF"/>
        </w:rPr>
        <w:t>1,3</w:t>
      </w:r>
    </w:p>
    <w:p>
      <w:pPr>
        <w:spacing w:after="0" w:line="97"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FFFFFF"/>
        </w:rPr>
        <w:t>Retired Chairman and President of BP America, Inc.</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2023</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Tracy A. Embree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Retired President of Otis Americas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-1951990</wp:posOffset>
            </wp:positionV>
            <wp:extent cx="7658100" cy="9944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FFFFFF"/>
        </w:rPr>
        <w:t>Chief Executive Officer of Kirby</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2014</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Richard R. Stewart </w:t>
      </w:r>
      <w:r>
        <w:rPr>
          <w:rFonts w:ascii="Arial" w:cs="Arial" w:eastAsia="Arial" w:hAnsi="Arial"/>
          <w:sz w:val="9"/>
          <w:szCs w:val="9"/>
          <w:color w:val="FFFFFF"/>
        </w:rPr>
        <w:t>1</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Retired President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of GE Aero Energy</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2008</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William M. Waterman </w:t>
      </w:r>
      <w:r>
        <w:rPr>
          <w:rFonts w:ascii="Arial" w:cs="Arial" w:eastAsia="Arial" w:hAnsi="Arial"/>
          <w:sz w:val="9"/>
          <w:szCs w:val="9"/>
          <w:color w:val="FFFFFF"/>
        </w:rPr>
        <w:t>2,3</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Retired President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of Penn Maritime Inc.</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2012</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Shawn D. Williams </w:t>
      </w:r>
      <w:r>
        <w:rPr>
          <w:rFonts w:ascii="Arial" w:cs="Arial" w:eastAsia="Arial" w:hAnsi="Arial"/>
          <w:sz w:val="9"/>
          <w:szCs w:val="9"/>
          <w:color w:val="FFFFFF"/>
        </w:rPr>
        <w:t>2,3</w:t>
      </w:r>
    </w:p>
    <w:p>
      <w:pPr>
        <w:spacing w:after="0" w:line="97" w:lineRule="exact"/>
        <w:rPr>
          <w:sz w:val="20"/>
          <w:szCs w:val="20"/>
          <w:color w:val="auto"/>
        </w:rPr>
      </w:pPr>
    </w:p>
    <w:p>
      <w:pPr>
        <w:ind w:right="740"/>
        <w:spacing w:after="0" w:line="289" w:lineRule="auto"/>
        <w:rPr>
          <w:sz w:val="20"/>
          <w:szCs w:val="20"/>
          <w:color w:val="auto"/>
        </w:rPr>
      </w:pPr>
      <w:r>
        <w:rPr>
          <w:rFonts w:ascii="Arial" w:cs="Arial" w:eastAsia="Arial" w:hAnsi="Arial"/>
          <w:sz w:val="16"/>
          <w:szCs w:val="16"/>
          <w:color w:val="FFFFFF"/>
        </w:rPr>
        <w:t>Executive Chairman of the Board of Covia Holdings LLC</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FFFFFF"/>
        </w:rPr>
        <w:t>Director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hanging="74"/>
        <w:spacing w:after="0"/>
        <w:tabs>
          <w:tab w:leader="none" w:pos="80" w:val="left"/>
        </w:tabs>
        <w:numPr>
          <w:ilvl w:val="0"/>
          <w:numId w:val="8"/>
        </w:numPr>
        <w:rPr>
          <w:rFonts w:ascii="Arial" w:cs="Arial" w:eastAsia="Arial" w:hAnsi="Arial"/>
          <w:sz w:val="14"/>
          <w:szCs w:val="14"/>
          <w:color w:val="FFFFFF"/>
          <w:vertAlign w:val="superscript"/>
        </w:rPr>
      </w:pPr>
      <w:r>
        <w:rPr>
          <w:rFonts w:ascii="Arial" w:cs="Arial" w:eastAsia="Arial" w:hAnsi="Arial"/>
          <w:sz w:val="12"/>
          <w:szCs w:val="12"/>
          <w:color w:val="FFFFFF"/>
        </w:rPr>
        <w:t>Audit Committee</w:t>
      </w:r>
    </w:p>
    <w:p>
      <w:pPr>
        <w:spacing w:after="0" w:line="39" w:lineRule="exact"/>
        <w:rPr>
          <w:sz w:val="20"/>
          <w:szCs w:val="20"/>
          <w:color w:val="auto"/>
        </w:rPr>
      </w:pPr>
    </w:p>
    <w:p>
      <w:pPr>
        <w:ind w:left="80" w:hanging="74"/>
        <w:spacing w:after="0"/>
        <w:tabs>
          <w:tab w:leader="none" w:pos="80" w:val="left"/>
        </w:tabs>
        <w:numPr>
          <w:ilvl w:val="0"/>
          <w:numId w:val="9"/>
        </w:numPr>
        <w:rPr>
          <w:rFonts w:ascii="Arial" w:cs="Arial" w:eastAsia="Arial" w:hAnsi="Arial"/>
          <w:sz w:val="14"/>
          <w:szCs w:val="14"/>
          <w:color w:val="FFFFFF"/>
          <w:vertAlign w:val="superscript"/>
        </w:rPr>
      </w:pPr>
      <w:r>
        <w:rPr>
          <w:rFonts w:ascii="Arial" w:cs="Arial" w:eastAsia="Arial" w:hAnsi="Arial"/>
          <w:sz w:val="12"/>
          <w:szCs w:val="12"/>
          <w:color w:val="FFFFFF"/>
        </w:rPr>
        <w:t>Compensation Committee</w:t>
      </w:r>
    </w:p>
    <w:p>
      <w:pPr>
        <w:spacing w:after="0" w:line="39" w:lineRule="exact"/>
        <w:rPr>
          <w:sz w:val="20"/>
          <w:szCs w:val="20"/>
          <w:color w:val="auto"/>
        </w:rPr>
      </w:pPr>
    </w:p>
    <w:p>
      <w:pPr>
        <w:ind w:left="80" w:hanging="74"/>
        <w:spacing w:after="0"/>
        <w:tabs>
          <w:tab w:leader="none" w:pos="80" w:val="left"/>
        </w:tabs>
        <w:numPr>
          <w:ilvl w:val="0"/>
          <w:numId w:val="10"/>
        </w:numPr>
        <w:rPr>
          <w:rFonts w:ascii="Arial" w:cs="Arial" w:eastAsia="Arial" w:hAnsi="Arial"/>
          <w:sz w:val="14"/>
          <w:szCs w:val="14"/>
          <w:color w:val="FFFFFF"/>
          <w:vertAlign w:val="superscript"/>
        </w:rPr>
      </w:pPr>
      <w:r>
        <w:rPr>
          <w:rFonts w:ascii="Arial" w:cs="Arial" w:eastAsia="Arial" w:hAnsi="Arial"/>
          <w:sz w:val="12"/>
          <w:szCs w:val="12"/>
          <w:color w:val="FFFFFF"/>
        </w:rPr>
        <w:t>ESG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80"/>
        <w:spacing w:after="0"/>
        <w:rPr>
          <w:sz w:val="20"/>
          <w:szCs w:val="20"/>
          <w:color w:val="auto"/>
        </w:rPr>
      </w:pPr>
      <w:r>
        <w:rPr>
          <w:rFonts w:ascii="Arial" w:cs="Arial" w:eastAsia="Arial" w:hAnsi="Arial"/>
          <w:sz w:val="15"/>
          <w:szCs w:val="15"/>
          <w:b w:val="1"/>
          <w:bCs w:val="1"/>
          <w:color w:val="FFFFFF"/>
        </w:rPr>
        <w:t>CORPORATE OFFICERS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David W. Grzebinski</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Raj Kumar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Executive Vice President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Christian G. O’Neil</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President &amp; Chief Operating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Amy D. Husted</w:t>
      </w:r>
    </w:p>
    <w:p>
      <w:pPr>
        <w:spacing w:after="0" w:line="9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FFFFFF"/>
        </w:rPr>
        <w:t>Executive Vice President, General Counsel and Secretary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Ronald A. Dragg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Vice President, Controller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Assistant Secretary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Jennifer N. McCauley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Chief Human Resources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Scott P. Miller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FFFFFF"/>
        </w:rPr>
        <w:t>Vice President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and Chief Information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Matthew P. Kerin</w:t>
      </w:r>
    </w:p>
    <w:p>
      <w:pPr>
        <w:spacing w:after="0" w:line="97"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color w:val="FFFFFF"/>
        </w:rPr>
        <w:t>Vice President, Investor Relations and Treasurer</w:t>
      </w:r>
    </w:p>
    <w:p>
      <w:pPr>
        <w:spacing w:after="0" w:line="209"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FFFFFF"/>
        </w:rPr>
        <w:t>&gt;PSSPHT</w:t>
      </w:r>
      <w:r>
        <w:rPr>
          <w:rFonts w:ascii="PMingLiU" w:cs="PMingLiU" w:eastAsia="PMingLiU" w:hAnsi="PMingLiU"/>
          <w:sz w:val="16"/>
          <w:szCs w:val="16"/>
          <w:b w:val="1"/>
          <w:bCs w:val="1"/>
          <w:color w:val="FFFFFF"/>
        </w:rPr>
        <w:t/>
      </w:r>
      <w:r>
        <w:rPr>
          <w:rFonts w:ascii="Arial" w:cs="Arial" w:eastAsia="Arial" w:hAnsi="Arial"/>
          <w:sz w:val="16"/>
          <w:szCs w:val="16"/>
          <w:b w:val="1"/>
          <w:bCs w:val="1"/>
          <w:color w:val="FFFFFF"/>
        </w:rPr>
        <w:t>4H[[OL^</w:t>
      </w:r>
      <w:r>
        <w:rPr>
          <w:rFonts w:ascii="PMingLiU" w:cs="PMingLiU" w:eastAsia="PMingLiU" w:hAnsi="PMingLiU"/>
          <w:sz w:val="16"/>
          <w:szCs w:val="16"/>
          <w:b w:val="1"/>
          <w:bCs w:val="1"/>
          <w:color w:val="FFFFFF"/>
        </w:rPr>
        <w:t/>
      </w:r>
      <w:r>
        <w:rPr>
          <w:rFonts w:ascii="Arial" w:cs="Arial" w:eastAsia="Arial" w:hAnsi="Arial"/>
          <w:sz w:val="16"/>
          <w:szCs w:val="16"/>
          <w:b w:val="1"/>
          <w:bCs w:val="1"/>
          <w:color w:val="FFFFFF"/>
        </w:rPr>
        <w:t>&gt;VVKY\Ɉ</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FFFFFF"/>
        </w:rPr>
        <w:t>Vice President of Public</w:t>
      </w:r>
    </w:p>
    <w:p>
      <w:pPr>
        <w:spacing w:after="0" w:line="36"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FFFFFF"/>
        </w:rPr>
        <w:t>and Government Affairs</w:t>
      </w:r>
    </w:p>
    <w:p>
      <w:pPr>
        <w:spacing w:after="0" w:line="228" w:lineRule="exact"/>
        <w:rPr>
          <w:sz w:val="20"/>
          <w:szCs w:val="20"/>
          <w:color w:val="auto"/>
        </w:rPr>
      </w:pPr>
    </w:p>
    <w:p>
      <w:pPr>
        <w:sectPr>
          <w:pgSz w:w="12240" w:h="15840" w:orient="portrait"/>
          <w:cols w:equalWidth="0" w:num="3">
            <w:col w:w="2740" w:space="600"/>
            <w:col w:w="2840" w:space="720"/>
            <w:col w:w="3080"/>
          </w:cols>
          <w:pgMar w:left="820" w:top="7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 w:leader="none" w:pos="1540" w:val="left"/>
        </w:tabs>
        <w:rPr>
          <w:sz w:val="20"/>
          <w:szCs w:val="20"/>
          <w:color w:val="auto"/>
        </w:rPr>
      </w:pPr>
      <w:r>
        <w:rPr>
          <w:rFonts w:ascii="Arial" w:cs="Arial" w:eastAsia="Arial" w:hAnsi="Arial"/>
          <w:sz w:val="16"/>
          <w:szCs w:val="16"/>
          <w:color w:val="FFFFFF"/>
        </w:rPr>
        <w:t>10</w:t>
      </w:r>
      <w:r>
        <w:rPr>
          <w:sz w:val="20"/>
          <w:szCs w:val="20"/>
          <w:color w:val="auto"/>
        </w:rPr>
        <w:tab/>
      </w:r>
      <w:r>
        <w:rPr>
          <w:rFonts w:ascii="Arial" w:cs="Arial" w:eastAsia="Arial" w:hAnsi="Arial"/>
          <w:sz w:val="12"/>
          <w:szCs w:val="12"/>
          <w:color w:val="FFFFFF"/>
        </w:rPr>
        <w:t>2025 Annual Report</w:t>
      </w:r>
      <w:r>
        <w:rPr>
          <w:sz w:val="20"/>
          <w:szCs w:val="20"/>
          <w:color w:val="auto"/>
        </w:rPr>
        <w:tab/>
      </w:r>
      <w:r>
        <w:rPr>
          <w:rFonts w:ascii="Arial" w:cs="Arial" w:eastAsia="Arial" w:hAnsi="Arial"/>
          <w:sz w:val="16"/>
          <w:szCs w:val="16"/>
          <w:color w:val="FFFFFF"/>
        </w:rPr>
        <w:t xml:space="preserve">| </w:t>
      </w:r>
      <w:r>
        <w:rPr>
          <w:rFonts w:ascii="Arial" w:cs="Arial" w:eastAsia="Arial" w:hAnsi="Arial"/>
          <w:sz w:val="10"/>
          <w:szCs w:val="10"/>
          <w:b w:val="1"/>
          <w:bCs w:val="1"/>
          <w:color w:val="FFFFFF"/>
        </w:rPr>
        <w:t>Kirby Corporation</w:t>
      </w:r>
    </w:p>
    <w:p>
      <w:pPr>
        <w:sectPr>
          <w:pgSz w:w="12240" w:h="15840" w:orient="portrait"/>
          <w:cols w:equalWidth="0" w:num="1">
            <w:col w:w="9980"/>
          </w:cols>
          <w:pgMar w:left="820" w:top="769" w:right="1440"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476250</wp:posOffset>
                </wp:positionV>
                <wp:extent cx="68580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7">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5pt" to="576pt,37.5pt" o:allowincell="f" strokecolor="#000000" strokeweight="0.7502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495300</wp:posOffset>
                </wp:positionV>
                <wp:extent cx="68580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pt" to="576pt,39pt" o:allowincell="f" strokecolor="#000000" strokeweight="0.75pt">
                <w10:wrap anchorx="page" anchory="page"/>
              </v:line>
            </w:pict>
          </mc:Fallback>
        </mc:AlternateContent>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2377440</wp:posOffset>
                </wp:positionH>
                <wp:positionV relativeFrom="paragraph">
                  <wp:posOffset>40005</wp:posOffset>
                </wp:positionV>
                <wp:extent cx="210312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3120" cy="4763"/>
                        </a:xfrm>
                        <a:prstGeom prst="line">
                          <a:avLst/>
                        </a:prstGeom>
                        <a:solidFill>
                          <a:srgbClr val="FFFFFF"/>
                        </a:solidFill>
                        <a:ln w="9523">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2pt,3.15pt" to="352.8pt,3.15pt" o:allowincell="f" strokecolor="#000000" strokeweight="0.7498pt"/>
            </w:pict>
          </mc:Fallback>
        </mc:AlternateConten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7" w:lineRule="exact"/>
        <w:rPr>
          <w:sz w:val="20"/>
          <w:szCs w:val="20"/>
          <w:color w:val="auto"/>
        </w:rPr>
      </w:pPr>
    </w:p>
    <w:p>
      <w:pPr>
        <w:ind w:right="1440" w:firstLine="14"/>
        <w:spacing w:after="0" w:line="186" w:lineRule="auto"/>
        <w:tabs>
          <w:tab w:leader="none" w:pos="555" w:val="left"/>
        </w:tabs>
        <w:numPr>
          <w:ilvl w:val="0"/>
          <w:numId w:val="11"/>
        </w:numPr>
        <w:rPr>
          <w:rFonts w:ascii="Segoe UI" w:cs="Segoe UI" w:eastAsia="Segoe UI" w:hAnsi="Segoe UI"/>
          <w:sz w:val="34"/>
          <w:szCs w:val="34"/>
          <w:color w:val="auto"/>
          <w:highlight w:val="black"/>
          <w:vertAlign w:val="subscript"/>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w:t>
      </w:r>
    </w:p>
    <w:p>
      <w:pPr>
        <w:spacing w:after="0" w:line="44" w:lineRule="exact"/>
        <w:rPr>
          <w:sz w:val="20"/>
          <w:szCs w:val="20"/>
          <w:color w:val="auto"/>
        </w:rPr>
      </w:pPr>
    </w:p>
    <w:p>
      <w:pPr>
        <w:ind w:right="1080" w:firstLine="14"/>
        <w:spacing w:after="0" w:line="186" w:lineRule="auto"/>
        <w:tabs>
          <w:tab w:leader="none" w:pos="555" w:val="left"/>
        </w:tabs>
        <w:numPr>
          <w:ilvl w:val="0"/>
          <w:numId w:val="12"/>
        </w:numPr>
        <w:rPr>
          <w:rFonts w:ascii="Segoe UI" w:cs="Segoe UI" w:eastAsia="Segoe UI" w:hAnsi="Segoe UI"/>
          <w:sz w:val="36"/>
          <w:szCs w:val="36"/>
          <w:color w:val="auto"/>
          <w:highlight w:val="black"/>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1-07615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2377440</wp:posOffset>
                </wp:positionH>
                <wp:positionV relativeFrom="paragraph">
                  <wp:posOffset>60325</wp:posOffset>
                </wp:positionV>
                <wp:extent cx="210312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31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2pt,4.75pt" to="352.8pt,4.75pt" o:allowincell="f" strokecolor="#000000" strokeweight="0.75pt"/>
            </w:pict>
          </mc:Fallback>
        </mc:AlternateConten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Kirby Corporation</w:t>
      </w:r>
    </w:p>
    <w:p>
      <w:pPr>
        <w:spacing w:after="0" w:line="59"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910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207"/>
        </w:trPr>
        <w:tc>
          <w:tcPr>
            <w:tcW w:w="54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2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74-1884980</w:t>
            </w:r>
          </w:p>
        </w:tc>
        <w:tc>
          <w:tcPr>
            <w:tcW w:w="0" w:type="dxa"/>
            <w:vAlign w:val="bottom"/>
          </w:tcPr>
          <w:p>
            <w:pPr>
              <w:spacing w:after="0"/>
              <w:rPr>
                <w:sz w:val="1"/>
                <w:szCs w:val="1"/>
                <w:color w:val="auto"/>
              </w:rPr>
            </w:pPr>
          </w:p>
        </w:tc>
      </w:tr>
      <w:tr>
        <w:trPr>
          <w:trHeight w:val="207"/>
        </w:trPr>
        <w:tc>
          <w:tcPr>
            <w:tcW w:w="54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62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208"/>
        </w:trPr>
        <w:tc>
          <w:tcPr>
            <w:tcW w:w="54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362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77007</w:t>
            </w:r>
          </w:p>
        </w:tc>
        <w:tc>
          <w:tcPr>
            <w:tcW w:w="0" w:type="dxa"/>
            <w:vAlign w:val="bottom"/>
          </w:tcPr>
          <w:p>
            <w:pPr>
              <w:spacing w:after="0"/>
              <w:rPr>
                <w:sz w:val="1"/>
                <w:szCs w:val="1"/>
                <w:color w:val="auto"/>
              </w:rPr>
            </w:pPr>
          </w:p>
        </w:tc>
      </w:tr>
      <w:tr>
        <w:trPr>
          <w:trHeight w:val="206"/>
        </w:trPr>
        <w:tc>
          <w:tcPr>
            <w:tcW w:w="54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2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713-435-1000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b w:val="1"/>
          <w:bCs w:val="1"/>
          <w:u w:val="single" w:color="auto"/>
          <w:color w:val="auto"/>
        </w:rPr>
        <w:t>ecurities registered pursuant to Sec</w:t>
      </w:r>
      <w:r>
        <w:rPr>
          <w:rFonts w:ascii="Times New Roman" w:cs="Times New Roman" w:eastAsia="Times New Roman" w:hAnsi="Times New Roman"/>
          <w:sz w:val="20"/>
          <w:szCs w:val="20"/>
          <w:b w:val="1"/>
          <w:bCs w:val="1"/>
          <w:color w:val="auto"/>
        </w:rPr>
        <w:t>tion 12(b)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28575</wp:posOffset>
            </wp:positionV>
            <wp:extent cx="38100" cy="3263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extLst>
                    </a:blip>
                    <a:srcRect/>
                    <a:stretch>
                      <a:fillRect/>
                    </a:stretch>
                  </pic:blipFill>
                  <pic:spPr bwMode="auto">
                    <a:xfrm>
                      <a:off x="0" y="0"/>
                      <a:ext cx="38100" cy="32639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41275</wp:posOffset>
            </wp:positionV>
            <wp:extent cx="3051810" cy="313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extLst>
                    </a:blip>
                    <a:srcRect/>
                    <a:stretch>
                      <a:fillRect/>
                    </a:stretch>
                  </pic:blipFill>
                  <pic:spPr bwMode="auto">
                    <a:xfrm>
                      <a:off x="0" y="0"/>
                      <a:ext cx="3051810" cy="3136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43"/>
        </w:trPr>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KEX</w:t>
            </w:r>
          </w:p>
        </w:tc>
        <w:tc>
          <w:tcPr>
            <w:tcW w:w="14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4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right w:val="single" w:sz="8" w:color="auto"/>
            </w:tcBorders>
            <w:vMerge w:val="continue"/>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400" w:type="dxa"/>
            <w:vAlign w:val="bottom"/>
          </w:tcPr>
          <w:p>
            <w:pPr>
              <w:spacing w:after="0"/>
              <w:rPr>
                <w:sz w:val="14"/>
                <w:szCs w:val="14"/>
                <w:color w:val="auto"/>
              </w:rPr>
            </w:pPr>
          </w:p>
        </w:tc>
        <w:tc>
          <w:tcPr>
            <w:tcW w:w="19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highlight w:val="white"/>
                <w:w w:val="99"/>
              </w:rPr>
              <w:t>New York Stock Exchange</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1918970</wp:posOffset>
                </wp:positionH>
                <wp:positionV relativeFrom="paragraph">
                  <wp:posOffset>-12065</wp:posOffset>
                </wp:positionV>
                <wp:extent cx="12700" cy="1206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36" o:spid="_x0000_s1061" style="position:absolute;margin-left:151.1pt;margin-top:-0.9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2377440</wp:posOffset>
                </wp:positionH>
                <wp:positionV relativeFrom="paragraph">
                  <wp:posOffset>41275</wp:posOffset>
                </wp:positionV>
                <wp:extent cx="210312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31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2pt,3.25pt" to="352.8pt,3.25pt" o:allowincell="f" strokecolor="#000000" strokeweight="0.75pt"/>
            </w:pict>
          </mc:Fallback>
        </mc:AlternateConten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Segoe UI" w:cs="Segoe UI" w:eastAsia="Segoe UI" w:hAnsi="Segoe UI"/>
          <w:sz w:val="18"/>
          <w:szCs w:val="18"/>
          <w:color w:val="auto"/>
        </w:rPr>
        <w:t>շ</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ն</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Exchange Act. Y s </w:t>
      </w:r>
      <w:r>
        <w:rPr>
          <w:rFonts w:ascii="Segoe UI" w:cs="Segoe UI" w:eastAsia="Segoe UI" w:hAnsi="Segoe UI"/>
          <w:sz w:val="18"/>
          <w:szCs w:val="18"/>
          <w:color w:val="auto"/>
        </w:rPr>
        <w:t>ն</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շ</w:t>
      </w:r>
    </w:p>
    <w:p>
      <w:pPr>
        <w:spacing w:after="0" w:line="40" w:lineRule="exact"/>
        <w:rPr>
          <w:sz w:val="20"/>
          <w:szCs w:val="20"/>
          <w:color w:val="auto"/>
        </w:rPr>
      </w:pPr>
    </w:p>
    <w:p>
      <w:pPr>
        <w:jc w:val="both"/>
        <w:ind w:firstLine="358"/>
        <w:spacing w:after="0" w:line="24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rPr>
          <w:sz w:val="20"/>
          <w:szCs w:val="20"/>
          <w:color w:val="auto"/>
        </w:rPr>
      </w:pPr>
      <w:r>
        <w:rPr>
          <w:rFonts w:ascii="Times New Roman" w:cs="Times New Roman" w:eastAsia="Times New Roman" w:hAnsi="Times New Roman"/>
          <w:sz w:val="18"/>
          <w:szCs w:val="18"/>
          <w:color w:val="auto"/>
        </w:rPr>
        <w:t xml:space="preserve">such filing requirements for the past 90 days. Yes </w:t>
      </w:r>
      <w:r>
        <w:rPr>
          <w:rFonts w:ascii="Segoe UI" w:cs="Segoe UI" w:eastAsia="Segoe UI" w:hAnsi="Segoe UI"/>
          <w:sz w:val="18"/>
          <w:szCs w:val="18"/>
          <w:color w:val="auto"/>
        </w:rPr>
        <w:t>շ</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ն</w:t>
      </w:r>
    </w:p>
    <w:p>
      <w:pPr>
        <w:spacing w:after="0" w:line="33" w:lineRule="exact"/>
        <w:rPr>
          <w:sz w:val="20"/>
          <w:szCs w:val="20"/>
          <w:color w:val="auto"/>
        </w:rPr>
      </w:pPr>
    </w:p>
    <w:p>
      <w:pPr>
        <w:jc w:val="both"/>
        <w:ind w:firstLine="362"/>
        <w:spacing w:after="0" w:line="24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w:t>
      </w:r>
    </w:p>
    <w:p>
      <w:pPr>
        <w:spacing w:after="0"/>
        <w:rPr>
          <w:sz w:val="20"/>
          <w:szCs w:val="20"/>
          <w:color w:val="auto"/>
        </w:rPr>
      </w:pPr>
      <w:r>
        <w:rPr>
          <w:rFonts w:ascii="Times New Roman" w:cs="Times New Roman" w:eastAsia="Times New Roman" w:hAnsi="Times New Roman"/>
          <w:sz w:val="18"/>
          <w:szCs w:val="18"/>
          <w:color w:val="auto"/>
        </w:rPr>
        <w:t xml:space="preserve">submit and post such files). Yes </w:t>
      </w:r>
      <w:r>
        <w:rPr>
          <w:rFonts w:ascii="Segoe UI" w:cs="Segoe UI" w:eastAsia="Segoe UI" w:hAnsi="Segoe UI"/>
          <w:sz w:val="18"/>
          <w:szCs w:val="18"/>
          <w:color w:val="auto"/>
        </w:rPr>
        <w:t>շ</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ն</w:t>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w:t>
      </w:r>
    </w:p>
    <w:p>
      <w:pPr>
        <w:spacing w:after="0" w:line="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company, or an emerging growth company. See the definitions of “large accelerated filer,” “accelerated filer,” “smaller reporting company,” and “emerging growth company” in Rule 12b-2 of the Exchange Act. (Check one):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20" w:type="dxa"/>
            <w:vAlign w:val="bottom"/>
          </w:tcPr>
          <w:p>
            <w:pPr>
              <w:ind w:left="480"/>
              <w:spacing w:after="0"/>
              <w:rPr>
                <w:sz w:val="20"/>
                <w:szCs w:val="20"/>
                <w:color w:val="auto"/>
              </w:rPr>
            </w:pPr>
            <w:r>
              <w:rPr>
                <w:rFonts w:ascii="Segoe UI" w:cs="Segoe UI" w:eastAsia="Segoe UI" w:hAnsi="Segoe UI"/>
                <w:sz w:val="18"/>
                <w:szCs w:val="18"/>
                <w:color w:val="auto"/>
              </w:rPr>
              <w:t>շ</w:t>
            </w:r>
          </w:p>
        </w:tc>
        <w:tc>
          <w:tcPr>
            <w:tcW w:w="4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100" w:type="dxa"/>
            <w:vAlign w:val="bottom"/>
          </w:tcPr>
          <w:p>
            <w:pPr>
              <w:ind w:left="940"/>
              <w:spacing w:after="0"/>
              <w:rPr>
                <w:sz w:val="20"/>
                <w:szCs w:val="20"/>
                <w:color w:val="auto"/>
              </w:rPr>
            </w:pPr>
            <w:r>
              <w:rPr>
                <w:rFonts w:ascii="Segoe UI" w:cs="Segoe UI" w:eastAsia="Segoe UI" w:hAnsi="Segoe UI"/>
                <w:sz w:val="18"/>
                <w:szCs w:val="18"/>
                <w:color w:val="auto"/>
              </w:rPr>
              <w:t>ն</w:t>
            </w:r>
          </w:p>
        </w:tc>
      </w:tr>
      <w:tr>
        <w:trPr>
          <w:trHeight w:val="23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ind w:left="480"/>
              <w:spacing w:after="0"/>
              <w:rPr>
                <w:sz w:val="20"/>
                <w:szCs w:val="20"/>
                <w:color w:val="auto"/>
              </w:rPr>
            </w:pPr>
            <w:r>
              <w:rPr>
                <w:rFonts w:ascii="Segoe UI" w:cs="Segoe UI" w:eastAsia="Segoe UI" w:hAnsi="Segoe UI"/>
                <w:sz w:val="18"/>
                <w:szCs w:val="18"/>
                <w:color w:val="auto"/>
              </w:rPr>
              <w:t>ն</w:t>
            </w:r>
          </w:p>
        </w:tc>
        <w:tc>
          <w:tcPr>
            <w:tcW w:w="4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940"/>
              <w:spacing w:after="0"/>
              <w:rPr>
                <w:sz w:val="20"/>
                <w:szCs w:val="20"/>
                <w:color w:val="auto"/>
              </w:rPr>
            </w:pPr>
            <w:r>
              <w:rPr>
                <w:rFonts w:ascii="Segoe UI" w:cs="Segoe UI" w:eastAsia="Segoe UI" w:hAnsi="Segoe UI"/>
                <w:sz w:val="18"/>
                <w:szCs w:val="18"/>
                <w:color w:val="auto"/>
              </w:rPr>
              <w:t>ն</w:t>
            </w:r>
          </w:p>
        </w:tc>
      </w:tr>
      <w:tr>
        <w:trPr>
          <w:trHeight w:val="292"/>
        </w:trPr>
        <w:tc>
          <w:tcPr>
            <w:tcW w:w="2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940"/>
              <w:spacing w:after="0"/>
              <w:rPr>
                <w:sz w:val="20"/>
                <w:szCs w:val="20"/>
                <w:color w:val="auto"/>
              </w:rPr>
            </w:pPr>
            <w:r>
              <w:rPr>
                <w:rFonts w:ascii="Segoe UI" w:cs="Segoe UI" w:eastAsia="Segoe UI" w:hAnsi="Segoe UI"/>
                <w:sz w:val="18"/>
                <w:szCs w:val="18"/>
                <w:color w:val="auto"/>
              </w:rPr>
              <w:t>ն</w:t>
            </w:r>
          </w:p>
        </w:tc>
      </w:tr>
    </w:tbl>
    <w:p>
      <w:pPr>
        <w:jc w:val="both"/>
        <w:ind w:firstLine="365"/>
        <w:spacing w:after="0" w:line="26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8"/>
          <w:szCs w:val="18"/>
          <w:color w:val="auto"/>
        </w:rPr>
        <w:t>ն</w:t>
      </w:r>
    </w:p>
    <w:p>
      <w:pPr>
        <w:spacing w:after="0" w:line="1" w:lineRule="exact"/>
        <w:rPr>
          <w:sz w:val="20"/>
          <w:szCs w:val="20"/>
          <w:color w:val="auto"/>
        </w:rPr>
      </w:pPr>
    </w:p>
    <w:p>
      <w:pPr>
        <w:jc w:val="both"/>
        <w:ind w:firstLine="359"/>
        <w:spacing w:after="0" w:line="244"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w:t>
      </w:r>
    </w:p>
    <w:p>
      <w:pPr>
        <w:spacing w:after="0"/>
        <w:rPr>
          <w:sz w:val="20"/>
          <w:szCs w:val="20"/>
          <w:color w:val="auto"/>
        </w:rPr>
      </w:pPr>
      <w:r>
        <w:rPr>
          <w:rFonts w:ascii="Times New Roman" w:cs="Times New Roman" w:eastAsia="Times New Roman" w:hAnsi="Times New Roman"/>
          <w:sz w:val="18"/>
          <w:szCs w:val="18"/>
          <w:color w:val="auto"/>
        </w:rPr>
        <w:t xml:space="preserve">that prepared or issued its audit report. </w:t>
      </w:r>
      <w:r>
        <w:rPr>
          <w:rFonts w:ascii="Segoe UI" w:cs="Segoe UI" w:eastAsia="Segoe UI" w:hAnsi="Segoe UI"/>
          <w:sz w:val="18"/>
          <w:szCs w:val="18"/>
          <w:color w:val="auto"/>
        </w:rPr>
        <w:t>շ</w:t>
      </w:r>
    </w:p>
    <w:p>
      <w:pPr>
        <w:spacing w:after="0" w:line="33"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8"/>
          <w:szCs w:val="18"/>
          <w:color w:val="auto"/>
        </w:rPr>
        <w:t>ն</w:t>
      </w:r>
    </w:p>
    <w:p>
      <w:pPr>
        <w:spacing w:after="0" w:line="1" w:lineRule="exact"/>
        <w:rPr>
          <w:sz w:val="20"/>
          <w:szCs w:val="20"/>
          <w:color w:val="auto"/>
        </w:rPr>
      </w:pPr>
    </w:p>
    <w:p>
      <w:pPr>
        <w:jc w:val="both"/>
        <w:ind w:firstLine="358"/>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8"/>
          <w:szCs w:val="18"/>
          <w:color w:val="auto"/>
        </w:rPr>
        <w:t>ն</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Segoe UI" w:cs="Segoe UI" w:eastAsia="Segoe UI" w:hAnsi="Segoe UI"/>
          <w:sz w:val="18"/>
          <w:szCs w:val="18"/>
          <w:color w:val="auto"/>
        </w:rPr>
        <w:t>ն</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շ</w:t>
      </w:r>
    </w:p>
    <w:p>
      <w:pPr>
        <w:spacing w:after="0" w:line="40"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June 30, 2025, based on the closing sales price of such stock on the New York Stock Exchange on June 30, 2025, was $6.3 billion.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ind w:left="360"/>
        <w:spacing w:after="0"/>
        <w:rPr>
          <w:sz w:val="20"/>
          <w:szCs w:val="20"/>
          <w:color w:val="auto"/>
        </w:rPr>
      </w:pPr>
      <w:r>
        <w:rPr>
          <w:rFonts w:ascii="Times New Roman" w:cs="Times New Roman" w:eastAsia="Times New Roman" w:hAnsi="Times New Roman"/>
          <w:sz w:val="18"/>
          <w:szCs w:val="18"/>
          <w:color w:val="auto"/>
        </w:rPr>
        <w:t>As of February 13, 2026, 53,646,000 shares of common stock were outstanding.</w:t>
      </w:r>
    </w:p>
    <w:p>
      <w:pPr>
        <w:sectPr>
          <w:pgSz w:w="12240" w:h="15840" w:orient="portrait"/>
          <w:cols w:equalWidth="0" w:num="1">
            <w:col w:w="10800"/>
          </w:cols>
          <w:pgMar w:left="720" w:top="796" w:right="720" w:bottom="497" w:gutter="0" w:footer="0" w:header="0"/>
        </w:sectPr>
      </w:pPr>
    </w:p>
    <w:bookmarkStart w:id="13" w:name="page14"/>
    <w:bookmarkEnd w:id="1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4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8"/>
          <w:szCs w:val="18"/>
          <w:color w:val="auto"/>
        </w:rPr>
        <w:t>Portions of the Company’s definitive proxy statement in connection with the Annual Meeting of Stockholders to be held April 27, 2026, to be filed with the Commission pursuant to Regulation 14A, and the related annual report for the fiscal year ended December 31, 2025, to be provided to the Company's stockholders pursuant to Rule 14a-3(b) are incorporated by reference into Parts II and III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6858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540pt,2.1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46355</wp:posOffset>
                </wp:positionV>
                <wp:extent cx="68580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4">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5pt" to="540pt,3.65pt" o:allowincell="f" strokecolor="#000000" strokeweight="0.7499pt"/>
            </w:pict>
          </mc:Fallback>
        </mc:AlternateContent>
      </w:r>
    </w:p>
    <w:p>
      <w:pPr>
        <w:sectPr>
          <w:pgSz w:w="12240" w:h="15840" w:orient="portrait"/>
          <w:cols w:equalWidth="0" w:num="1">
            <w:col w:w="10800"/>
          </w:cols>
          <w:pgMar w:left="720" w:top="720" w:right="72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KIRBY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FORM 10-K</w:t>
      </w: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9"/>
        </w:trPr>
        <w:tc>
          <w:tcPr>
            <w:tcW w:w="10340" w:type="dxa"/>
            <w:vAlign w:val="bottom"/>
            <w:tcBorders>
              <w:bottom w:val="single" w:sz="8" w:color="EAEAEA"/>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10"/>
        </w:trPr>
        <w:tc>
          <w:tcPr>
            <w:tcW w:w="10340" w:type="dxa"/>
            <w:vAlign w:val="bottom"/>
            <w:tcBorders>
              <w:bottom w:val="single" w:sz="8" w:color="EAEAEA"/>
            </w:tcBorders>
            <w:shd w:val="clear" w:color="auto" w:fill="EAEAEA"/>
          </w:tcPr>
          <w:p>
            <w:pPr>
              <w:spacing w:after="0" w:line="186" w:lineRule="exact"/>
              <w:rPr>
                <w:sz w:val="20"/>
                <w:szCs w:val="20"/>
                <w:color w:val="auto"/>
              </w:rPr>
            </w:pPr>
            <w:r>
              <w:rPr>
                <w:rFonts w:ascii="Times New Roman" w:cs="Times New Roman" w:eastAsia="Times New Roman" w:hAnsi="Times New Roman"/>
                <w:sz w:val="20"/>
                <w:szCs w:val="20"/>
                <w:b w:val="1"/>
                <w:bCs w:val="1"/>
                <w:color w:val="auto"/>
                <w:shd w:val="clear" w:color="auto" w:fill="EAEAEA"/>
              </w:rPr>
              <w:t>PART I</w:t>
            </w:r>
          </w:p>
        </w:tc>
        <w:tc>
          <w:tcPr>
            <w:tcW w:w="460" w:type="dxa"/>
            <w:vAlign w:val="bottom"/>
            <w:tcBorders>
              <w:bottom w:val="single" w:sz="8" w:color="EAEAEA"/>
            </w:tcBorders>
            <w:shd w:val="clear" w:color="auto" w:fill="EAEAEA"/>
          </w:tcPr>
          <w:p>
            <w:pPr>
              <w:spacing w:after="0"/>
              <w:rPr>
                <w:sz w:val="18"/>
                <w:szCs w:val="18"/>
                <w:color w:val="auto"/>
              </w:rPr>
            </w:pP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 Business</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r>
      <w:tr>
        <w:trPr>
          <w:trHeight w:val="210"/>
        </w:trPr>
        <w:tc>
          <w:tcPr>
            <w:tcW w:w="10340" w:type="dxa"/>
            <w:vAlign w:val="bottom"/>
            <w:tcBorders>
              <w:bottom w:val="single" w:sz="8" w:color="EAEAEA"/>
            </w:tcBorders>
            <w:shd w:val="clear" w:color="auto" w:fill="EAEAEA"/>
          </w:tcPr>
          <w:p>
            <w:pPr>
              <w:ind w:left="5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THE COMPANY</w:t>
            </w:r>
          </w:p>
        </w:tc>
        <w:tc>
          <w:tcPr>
            <w:tcW w:w="460" w:type="dxa"/>
            <w:vAlign w:val="bottom"/>
            <w:tcBorders>
              <w:bottom w:val="single" w:sz="8" w:color="EAEAEA"/>
            </w:tcBorders>
            <w:shd w:val="clear" w:color="auto" w:fill="EAEAEA"/>
          </w:tcPr>
          <w:p>
            <w:pPr>
              <w:jc w:val="right"/>
              <w:ind w:right="80"/>
              <w:spacing w:after="0" w:line="186" w:lineRule="exact"/>
              <w:rPr>
                <w:sz w:val="20"/>
                <w:szCs w:val="20"/>
                <w:color w:val="auto"/>
              </w:rPr>
            </w:pPr>
            <w:r>
              <w:rPr>
                <w:rFonts w:ascii="Times New Roman" w:cs="Times New Roman" w:eastAsia="Times New Roman" w:hAnsi="Times New Roman"/>
                <w:sz w:val="20"/>
                <w:szCs w:val="20"/>
                <w:color w:val="auto"/>
                <w:shd w:val="clear" w:color="auto" w:fill="EAEAEA"/>
              </w:rPr>
              <w:t>4</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Documents and Information Available on Website</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r>
      <w:tr>
        <w:trPr>
          <w:trHeight w:val="210"/>
        </w:trPr>
        <w:tc>
          <w:tcPr>
            <w:tcW w:w="10340" w:type="dxa"/>
            <w:vAlign w:val="bottom"/>
            <w:tcBorders>
              <w:bottom w:val="single" w:sz="8" w:color="EAEAEA"/>
            </w:tcBorders>
            <w:shd w:val="clear" w:color="auto" w:fill="EAEAEA"/>
          </w:tcPr>
          <w:p>
            <w:pPr>
              <w:ind w:left="5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BUSINESS AND PROPERTY</w:t>
            </w:r>
          </w:p>
        </w:tc>
        <w:tc>
          <w:tcPr>
            <w:tcW w:w="460" w:type="dxa"/>
            <w:vAlign w:val="bottom"/>
            <w:tcBorders>
              <w:bottom w:val="single" w:sz="8" w:color="EAEAEA"/>
            </w:tcBorders>
            <w:shd w:val="clear" w:color="auto" w:fill="EAEAEA"/>
          </w:tcPr>
          <w:p>
            <w:pPr>
              <w:jc w:val="right"/>
              <w:ind w:right="80"/>
              <w:spacing w:after="0" w:line="186" w:lineRule="exact"/>
              <w:rPr>
                <w:sz w:val="20"/>
                <w:szCs w:val="20"/>
                <w:color w:val="auto"/>
              </w:rPr>
            </w:pPr>
            <w:r>
              <w:rPr>
                <w:rFonts w:ascii="Times New Roman" w:cs="Times New Roman" w:eastAsia="Times New Roman" w:hAnsi="Times New Roman"/>
                <w:sz w:val="20"/>
                <w:szCs w:val="20"/>
                <w:color w:val="auto"/>
                <w:shd w:val="clear" w:color="auto" w:fill="EAEAEA"/>
              </w:rPr>
              <w:t>4</w:t>
            </w:r>
          </w:p>
        </w:tc>
      </w:tr>
      <w:tr>
        <w:trPr>
          <w:trHeight w:val="230"/>
        </w:trPr>
        <w:tc>
          <w:tcPr>
            <w:tcW w:w="103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MARINE TRANSPORTATION</w:t>
            </w: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5</w:t>
            </w:r>
          </w:p>
        </w:tc>
      </w:tr>
      <w:tr>
        <w:trPr>
          <w:trHeight w:val="210"/>
        </w:trPr>
        <w:tc>
          <w:tcPr>
            <w:tcW w:w="10340" w:type="dxa"/>
            <w:vAlign w:val="bottom"/>
            <w:tcBorders>
              <w:bottom w:val="single" w:sz="8" w:color="EAEAEA"/>
            </w:tcBorders>
            <w:shd w:val="clear" w:color="auto" w:fill="EAEAEA"/>
          </w:tcPr>
          <w:p>
            <w:pPr>
              <w:ind w:left="6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Marine Transportation Industry Fundamentals</w:t>
            </w:r>
          </w:p>
        </w:tc>
        <w:tc>
          <w:tcPr>
            <w:tcW w:w="460" w:type="dxa"/>
            <w:vAlign w:val="bottom"/>
            <w:tcBorders>
              <w:bottom w:val="single" w:sz="8" w:color="EAEAEA"/>
            </w:tcBorders>
            <w:shd w:val="clear" w:color="auto" w:fill="EAEAEA"/>
          </w:tcPr>
          <w:p>
            <w:pPr>
              <w:jc w:val="right"/>
              <w:ind w:right="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6</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Inland Tank Barge Industry</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6</w:t>
            </w:r>
          </w:p>
        </w:tc>
      </w:tr>
      <w:tr>
        <w:trPr>
          <w:trHeight w:val="210"/>
        </w:trPr>
        <w:tc>
          <w:tcPr>
            <w:tcW w:w="10340" w:type="dxa"/>
            <w:vAlign w:val="bottom"/>
            <w:tcBorders>
              <w:bottom w:val="single" w:sz="8" w:color="EAEAEA"/>
            </w:tcBorders>
            <w:shd w:val="clear" w:color="auto" w:fill="EAEAEA"/>
          </w:tcPr>
          <w:p>
            <w:pPr>
              <w:ind w:left="6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Coastal Tank Barge Industry</w:t>
            </w:r>
          </w:p>
        </w:tc>
        <w:tc>
          <w:tcPr>
            <w:tcW w:w="460" w:type="dxa"/>
            <w:vAlign w:val="bottom"/>
            <w:tcBorders>
              <w:bottom w:val="single" w:sz="8" w:color="EAEAEA"/>
            </w:tcBorders>
            <w:shd w:val="clear" w:color="auto" w:fill="EAEAEA"/>
          </w:tcPr>
          <w:p>
            <w:pPr>
              <w:jc w:val="right"/>
              <w:ind w:right="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7</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Competition in the Tank Barge Industry</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7</w:t>
            </w:r>
          </w:p>
        </w:tc>
      </w:tr>
      <w:tr>
        <w:trPr>
          <w:trHeight w:val="210"/>
        </w:trPr>
        <w:tc>
          <w:tcPr>
            <w:tcW w:w="10340" w:type="dxa"/>
            <w:vAlign w:val="bottom"/>
            <w:tcBorders>
              <w:bottom w:val="single" w:sz="8" w:color="EAEAEA"/>
            </w:tcBorders>
            <w:shd w:val="clear" w:color="auto" w:fill="EAEAEA"/>
          </w:tcPr>
          <w:p>
            <w:pPr>
              <w:ind w:left="6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Products Transported</w:t>
            </w:r>
          </w:p>
        </w:tc>
        <w:tc>
          <w:tcPr>
            <w:tcW w:w="460" w:type="dxa"/>
            <w:vAlign w:val="bottom"/>
            <w:tcBorders>
              <w:bottom w:val="single" w:sz="8" w:color="EAEAEA"/>
            </w:tcBorders>
            <w:shd w:val="clear" w:color="auto" w:fill="EAEAEA"/>
          </w:tcPr>
          <w:p>
            <w:pPr>
              <w:jc w:val="right"/>
              <w:ind w:right="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8</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Demand Drivers in the Tank Barge Industry</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8</w:t>
            </w:r>
          </w:p>
        </w:tc>
      </w:tr>
      <w:tr>
        <w:trPr>
          <w:trHeight w:val="210"/>
        </w:trPr>
        <w:tc>
          <w:tcPr>
            <w:tcW w:w="10340" w:type="dxa"/>
            <w:vAlign w:val="bottom"/>
            <w:tcBorders>
              <w:bottom w:val="single" w:sz="8" w:color="EAEAEA"/>
            </w:tcBorders>
            <w:shd w:val="clear" w:color="auto" w:fill="EAEAEA"/>
          </w:tcPr>
          <w:p>
            <w:pPr>
              <w:ind w:left="6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Marine Transportation Operations</w:t>
            </w:r>
          </w:p>
        </w:tc>
        <w:tc>
          <w:tcPr>
            <w:tcW w:w="460" w:type="dxa"/>
            <w:vAlign w:val="bottom"/>
            <w:tcBorders>
              <w:bottom w:val="single" w:sz="8" w:color="EAEAEA"/>
            </w:tcBorders>
            <w:shd w:val="clear" w:color="auto" w:fill="EAEAEA"/>
          </w:tcPr>
          <w:p>
            <w:pPr>
              <w:jc w:val="right"/>
              <w:ind w:right="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9</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Contracts and Customers</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r>
      <w:tr>
        <w:trPr>
          <w:trHeight w:val="210"/>
        </w:trPr>
        <w:tc>
          <w:tcPr>
            <w:tcW w:w="10340" w:type="dxa"/>
            <w:vAlign w:val="bottom"/>
            <w:tcBorders>
              <w:bottom w:val="single" w:sz="8" w:color="EAEAEA"/>
            </w:tcBorders>
            <w:shd w:val="clear" w:color="auto" w:fill="EAEAEA"/>
          </w:tcPr>
          <w:p>
            <w:pPr>
              <w:ind w:left="500"/>
              <w:spacing w:after="0" w:line="186" w:lineRule="exact"/>
              <w:rPr>
                <w:sz w:val="20"/>
                <w:szCs w:val="20"/>
                <w:color w:val="auto"/>
              </w:rPr>
            </w:pPr>
            <w:r>
              <w:rPr>
                <w:rFonts w:ascii="Times New Roman" w:cs="Times New Roman" w:eastAsia="Times New Roman" w:hAnsi="Times New Roman"/>
                <w:sz w:val="20"/>
                <w:szCs w:val="20"/>
                <w:color w:val="auto"/>
                <w:shd w:val="clear" w:color="auto" w:fill="EAEAEA"/>
              </w:rPr>
              <w:t>DISTRIBUTION AND SERVICES</w:t>
            </w:r>
          </w:p>
        </w:tc>
        <w:tc>
          <w:tcPr>
            <w:tcW w:w="460" w:type="dxa"/>
            <w:vAlign w:val="bottom"/>
            <w:tcBorders>
              <w:bottom w:val="single" w:sz="8" w:color="EAEAEA"/>
            </w:tcBorders>
            <w:shd w:val="clear" w:color="auto" w:fill="EAEAEA"/>
          </w:tcPr>
          <w:p>
            <w:pPr>
              <w:jc w:val="right"/>
              <w:ind w:right="40"/>
              <w:spacing w:after="0" w:line="186" w:lineRule="exact"/>
              <w:rPr>
                <w:sz w:val="20"/>
                <w:szCs w:val="20"/>
                <w:color w:val="auto"/>
              </w:rPr>
            </w:pPr>
            <w:r>
              <w:rPr>
                <w:rFonts w:ascii="Times New Roman" w:cs="Times New Roman" w:eastAsia="Times New Roman" w:hAnsi="Times New Roman"/>
                <w:sz w:val="20"/>
                <w:szCs w:val="20"/>
                <w:color w:val="auto"/>
              </w:rPr>
              <w:t>12</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Commercial and Industrial Operations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12</w:t>
            </w:r>
          </w:p>
        </w:tc>
      </w:tr>
      <w:tr>
        <w:trPr>
          <w:trHeight w:val="210"/>
        </w:trPr>
        <w:tc>
          <w:tcPr>
            <w:tcW w:w="10340" w:type="dxa"/>
            <w:vAlign w:val="bottom"/>
            <w:tcBorders>
              <w:bottom w:val="single" w:sz="8" w:color="EAEAEA"/>
            </w:tcBorders>
            <w:shd w:val="clear" w:color="auto" w:fill="EAEAEA"/>
          </w:tcPr>
          <w:p>
            <w:pPr>
              <w:ind w:left="6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Commercial and Industrial Customers</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rPr>
              <w:t>13</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Commercial and Industrial Competitive Conditions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r>
      <w:tr>
        <w:trPr>
          <w:trHeight w:val="210"/>
        </w:trPr>
        <w:tc>
          <w:tcPr>
            <w:tcW w:w="10340" w:type="dxa"/>
            <w:vAlign w:val="bottom"/>
            <w:tcBorders>
              <w:bottom w:val="single" w:sz="8" w:color="EAEAEA"/>
            </w:tcBorders>
            <w:shd w:val="clear" w:color="auto" w:fill="EAEAEA"/>
          </w:tcPr>
          <w:p>
            <w:pPr>
              <w:ind w:left="640"/>
              <w:spacing w:after="0" w:line="186" w:lineRule="exact"/>
              <w:rPr>
                <w:sz w:val="20"/>
                <w:szCs w:val="20"/>
                <w:color w:val="auto"/>
              </w:rPr>
            </w:pPr>
            <w:r>
              <w:rPr>
                <w:rFonts w:ascii="Times New Roman" w:cs="Times New Roman" w:eastAsia="Times New Roman" w:hAnsi="Times New Roman"/>
                <w:sz w:val="20"/>
                <w:szCs w:val="20"/>
                <w:color w:val="auto"/>
                <w:shd w:val="clear" w:color="auto" w:fill="EAEAEA"/>
              </w:rPr>
              <w:t>Power Generation Operations</w:t>
            </w:r>
          </w:p>
        </w:tc>
        <w:tc>
          <w:tcPr>
            <w:tcW w:w="460" w:type="dxa"/>
            <w:vAlign w:val="bottom"/>
            <w:tcBorders>
              <w:bottom w:val="single" w:sz="8" w:color="EAEAEA"/>
            </w:tcBorders>
            <w:shd w:val="clear" w:color="auto" w:fill="EAEAEA"/>
          </w:tcPr>
          <w:p>
            <w:pPr>
              <w:jc w:val="right"/>
              <w:ind w:right="40"/>
              <w:spacing w:after="0" w:line="186" w:lineRule="exact"/>
              <w:rPr>
                <w:sz w:val="20"/>
                <w:szCs w:val="20"/>
                <w:color w:val="auto"/>
              </w:rPr>
            </w:pPr>
            <w:r>
              <w:rPr>
                <w:rFonts w:ascii="Times New Roman" w:cs="Times New Roman" w:eastAsia="Times New Roman" w:hAnsi="Times New Roman"/>
                <w:sz w:val="20"/>
                <w:szCs w:val="20"/>
                <w:color w:val="auto"/>
              </w:rPr>
              <w:t>14</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Power Generation Customers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r>
      <w:tr>
        <w:trPr>
          <w:trHeight w:val="210"/>
        </w:trPr>
        <w:tc>
          <w:tcPr>
            <w:tcW w:w="10340" w:type="dxa"/>
            <w:vAlign w:val="bottom"/>
            <w:tcBorders>
              <w:bottom w:val="single" w:sz="8" w:color="EAEAEA"/>
            </w:tcBorders>
            <w:shd w:val="clear" w:color="auto" w:fill="EAEAEA"/>
          </w:tcPr>
          <w:p>
            <w:pPr>
              <w:ind w:left="640"/>
              <w:spacing w:after="0" w:line="186" w:lineRule="exact"/>
              <w:rPr>
                <w:sz w:val="20"/>
                <w:szCs w:val="20"/>
                <w:color w:val="auto"/>
              </w:rPr>
            </w:pPr>
            <w:r>
              <w:rPr>
                <w:rFonts w:ascii="Times New Roman" w:cs="Times New Roman" w:eastAsia="Times New Roman" w:hAnsi="Times New Roman"/>
                <w:sz w:val="20"/>
                <w:szCs w:val="20"/>
                <w:color w:val="auto"/>
                <w:shd w:val="clear" w:color="auto" w:fill="EAEAEA"/>
              </w:rPr>
              <w:t>Power Generation Competitive Conditions</w:t>
            </w:r>
          </w:p>
        </w:tc>
        <w:tc>
          <w:tcPr>
            <w:tcW w:w="460" w:type="dxa"/>
            <w:vAlign w:val="bottom"/>
            <w:tcBorders>
              <w:bottom w:val="single" w:sz="8" w:color="EAEAEA"/>
            </w:tcBorders>
            <w:shd w:val="clear" w:color="auto" w:fill="EAEAEA"/>
          </w:tcPr>
          <w:p>
            <w:pPr>
              <w:jc w:val="right"/>
              <w:ind w:right="40"/>
              <w:spacing w:after="0" w:line="186" w:lineRule="exact"/>
              <w:rPr>
                <w:sz w:val="20"/>
                <w:szCs w:val="20"/>
                <w:color w:val="auto"/>
              </w:rPr>
            </w:pPr>
            <w:r>
              <w:rPr>
                <w:rFonts w:ascii="Times New Roman" w:cs="Times New Roman" w:eastAsia="Times New Roman" w:hAnsi="Times New Roman"/>
                <w:sz w:val="20"/>
                <w:szCs w:val="20"/>
                <w:color w:val="auto"/>
              </w:rPr>
              <w:t>14</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Oil and Gas Operations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r>
      <w:tr>
        <w:trPr>
          <w:trHeight w:val="210"/>
        </w:trPr>
        <w:tc>
          <w:tcPr>
            <w:tcW w:w="10340" w:type="dxa"/>
            <w:vAlign w:val="bottom"/>
            <w:tcBorders>
              <w:bottom w:val="single" w:sz="8" w:color="EAEAEA"/>
            </w:tcBorders>
            <w:shd w:val="clear" w:color="auto" w:fill="EAEAEA"/>
          </w:tcPr>
          <w:p>
            <w:pPr>
              <w:ind w:left="6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Oil and Gas Customers</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rPr>
              <w:t>15</w:t>
            </w:r>
          </w:p>
        </w:tc>
      </w:tr>
      <w:tr>
        <w:trPr>
          <w:trHeight w:val="230"/>
        </w:trPr>
        <w:tc>
          <w:tcPr>
            <w:tcW w:w="103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Oil and Gas Competitive Conditions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15</w:t>
            </w:r>
          </w:p>
        </w:tc>
      </w:tr>
      <w:tr>
        <w:trPr>
          <w:trHeight w:val="210"/>
        </w:trPr>
        <w:tc>
          <w:tcPr>
            <w:tcW w:w="10340" w:type="dxa"/>
            <w:vAlign w:val="bottom"/>
            <w:tcBorders>
              <w:bottom w:val="single" w:sz="8" w:color="EAEAEA"/>
            </w:tcBorders>
            <w:shd w:val="clear" w:color="auto" w:fill="EAEAEA"/>
          </w:tcPr>
          <w:p>
            <w:pPr>
              <w:ind w:left="5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Governmental Regulations</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rPr>
              <w:t>15</w:t>
            </w:r>
          </w:p>
        </w:tc>
      </w:tr>
      <w:tr>
        <w:trPr>
          <w:trHeight w:val="230"/>
        </w:trPr>
        <w:tc>
          <w:tcPr>
            <w:tcW w:w="103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Environmental Regulations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16</w:t>
            </w:r>
          </w:p>
        </w:tc>
      </w:tr>
      <w:tr>
        <w:trPr>
          <w:trHeight w:val="210"/>
        </w:trPr>
        <w:tc>
          <w:tcPr>
            <w:tcW w:w="10340" w:type="dxa"/>
            <w:vAlign w:val="bottom"/>
            <w:tcBorders>
              <w:bottom w:val="single" w:sz="8" w:color="EAEAEA"/>
            </w:tcBorders>
            <w:shd w:val="clear" w:color="auto" w:fill="EAEAEA"/>
          </w:tcPr>
          <w:p>
            <w:pPr>
              <w:ind w:left="5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Human Capital</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rPr>
              <w:t>18</w:t>
            </w:r>
          </w:p>
        </w:tc>
      </w:tr>
      <w:tr>
        <w:trPr>
          <w:trHeight w:val="230"/>
        </w:trPr>
        <w:tc>
          <w:tcPr>
            <w:tcW w:w="103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Information about the Company’s Executive Officers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r>
      <w:tr>
        <w:trPr>
          <w:trHeight w:val="210"/>
        </w:trPr>
        <w:tc>
          <w:tcPr>
            <w:tcW w:w="10340" w:type="dxa"/>
            <w:vAlign w:val="bottom"/>
            <w:tcBorders>
              <w:bottom w:val="single" w:sz="8" w:color="EAEAEA"/>
            </w:tcBorders>
            <w:shd w:val="clear" w:color="auto" w:fill="EAEAEA"/>
          </w:tcPr>
          <w:p>
            <w:pPr>
              <w:ind w:left="280"/>
              <w:spacing w:after="0" w:line="186" w:lineRule="exact"/>
              <w:rPr>
                <w:sz w:val="20"/>
                <w:szCs w:val="20"/>
                <w:color w:val="auto"/>
              </w:rPr>
            </w:pPr>
            <w:r>
              <w:rPr>
                <w:rFonts w:ascii="Times New Roman" w:cs="Times New Roman" w:eastAsia="Times New Roman" w:hAnsi="Times New Roman"/>
                <w:sz w:val="20"/>
                <w:szCs w:val="20"/>
                <w:color w:val="auto"/>
                <w:shd w:val="clear" w:color="auto" w:fill="EAEAEA"/>
              </w:rPr>
              <w:t>Item 1A. Risk Factors</w:t>
            </w:r>
          </w:p>
        </w:tc>
        <w:tc>
          <w:tcPr>
            <w:tcW w:w="460" w:type="dxa"/>
            <w:vAlign w:val="bottom"/>
            <w:tcBorders>
              <w:bottom w:val="single" w:sz="8" w:color="EAEAEA"/>
            </w:tcBorders>
            <w:shd w:val="clear" w:color="auto" w:fill="EAEAEA"/>
          </w:tcPr>
          <w:p>
            <w:pPr>
              <w:ind w:left="140"/>
              <w:spacing w:after="0" w:line="186" w:lineRule="exact"/>
              <w:rPr>
                <w:sz w:val="20"/>
                <w:szCs w:val="20"/>
                <w:color w:val="auto"/>
              </w:rPr>
            </w:pPr>
            <w:r>
              <w:rPr>
                <w:rFonts w:ascii="Times New Roman" w:cs="Times New Roman" w:eastAsia="Times New Roman" w:hAnsi="Times New Roman"/>
                <w:sz w:val="20"/>
                <w:szCs w:val="20"/>
                <w:color w:val="auto"/>
                <w:shd w:val="clear" w:color="auto" w:fill="EAEAEA"/>
              </w:rPr>
              <w:t>21</w:t>
            </w: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29</w:t>
            </w:r>
          </w:p>
        </w:tc>
      </w:tr>
      <w:tr>
        <w:trPr>
          <w:trHeight w:val="210"/>
        </w:trPr>
        <w:tc>
          <w:tcPr>
            <w:tcW w:w="10340" w:type="dxa"/>
            <w:vAlign w:val="bottom"/>
            <w:tcBorders>
              <w:bottom w:val="single" w:sz="8" w:color="EAEAEA"/>
            </w:tcBorders>
            <w:shd w:val="clear" w:color="auto" w:fill="EAEAEA"/>
          </w:tcPr>
          <w:p>
            <w:pPr>
              <w:ind w:left="2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Item 1C. Cybersecurity</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29</w:t>
            </w: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2. Properties</w:t>
            </w: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31</w:t>
            </w:r>
          </w:p>
        </w:tc>
      </w:tr>
      <w:tr>
        <w:trPr>
          <w:trHeight w:val="210"/>
        </w:trPr>
        <w:tc>
          <w:tcPr>
            <w:tcW w:w="10340" w:type="dxa"/>
            <w:vAlign w:val="bottom"/>
            <w:tcBorders>
              <w:bottom w:val="single" w:sz="8" w:color="EAEAEA"/>
            </w:tcBorders>
            <w:shd w:val="clear" w:color="auto" w:fill="EAEAEA"/>
          </w:tcPr>
          <w:p>
            <w:pPr>
              <w:ind w:left="2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Item 3. Legal Proceedings</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32</w:t>
            </w: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10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EAEAEA"/>
              </w:rPr>
              <w:t>PART II</w:t>
            </w:r>
          </w:p>
        </w:tc>
        <w:tc>
          <w:tcPr>
            <w:tcW w:w="460" w:type="dxa"/>
            <w:vAlign w:val="bottom"/>
            <w:shd w:val="clear" w:color="auto" w:fill="EAEAEA"/>
          </w:tcPr>
          <w:p>
            <w:pPr>
              <w:spacing w:after="0"/>
              <w:rPr>
                <w:sz w:val="20"/>
                <w:szCs w:val="20"/>
                <w:color w:val="auto"/>
              </w:rPr>
            </w:pP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 Securities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33</w:t>
            </w:r>
          </w:p>
        </w:tc>
      </w:tr>
      <w:tr>
        <w:trPr>
          <w:trHeight w:val="210"/>
        </w:trPr>
        <w:tc>
          <w:tcPr>
            <w:tcW w:w="10340" w:type="dxa"/>
            <w:vAlign w:val="bottom"/>
            <w:tcBorders>
              <w:bottom w:val="single" w:sz="8" w:color="EAEAEA"/>
            </w:tcBorders>
            <w:shd w:val="clear" w:color="auto" w:fill="EAEAEA"/>
          </w:tcPr>
          <w:p>
            <w:pPr>
              <w:ind w:left="2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Item 6. Reserved</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33</w:t>
            </w: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34</w:t>
            </w:r>
          </w:p>
        </w:tc>
      </w:tr>
      <w:tr>
        <w:trPr>
          <w:trHeight w:val="210"/>
        </w:trPr>
        <w:tc>
          <w:tcPr>
            <w:tcW w:w="10340" w:type="dxa"/>
            <w:vAlign w:val="bottom"/>
            <w:tcBorders>
              <w:bottom w:val="single" w:sz="8" w:color="EAEAEA"/>
            </w:tcBorders>
            <w:shd w:val="clear" w:color="auto" w:fill="EAEAEA"/>
          </w:tcPr>
          <w:p>
            <w:pPr>
              <w:ind w:left="2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Item 7A. Quantitative and Qualitative Disclosures about Market Risk</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48</w:t>
            </w: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r>
      <w:tr>
        <w:trPr>
          <w:trHeight w:val="210"/>
        </w:trPr>
        <w:tc>
          <w:tcPr>
            <w:tcW w:w="10340" w:type="dxa"/>
            <w:vAlign w:val="bottom"/>
            <w:tcBorders>
              <w:bottom w:val="single" w:sz="8" w:color="EAEAEA"/>
            </w:tcBorders>
            <w:shd w:val="clear" w:color="auto" w:fill="EAEAEA"/>
          </w:tcPr>
          <w:p>
            <w:pPr>
              <w:ind w:left="2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Item 9. Changes in and Disagreements with Accountants on Accounting and Financial Disclosure</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48</w:t>
            </w: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r>
      <w:tr>
        <w:trPr>
          <w:trHeight w:val="210"/>
        </w:trPr>
        <w:tc>
          <w:tcPr>
            <w:tcW w:w="10340" w:type="dxa"/>
            <w:vAlign w:val="bottom"/>
            <w:tcBorders>
              <w:bottom w:val="single" w:sz="8" w:color="EAEAEA"/>
            </w:tcBorders>
            <w:shd w:val="clear" w:color="auto" w:fill="EAEAEA"/>
          </w:tcPr>
          <w:p>
            <w:pPr>
              <w:ind w:left="2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Item 9B. Other Information</w:t>
            </w:r>
          </w:p>
        </w:tc>
        <w:tc>
          <w:tcPr>
            <w:tcW w:w="460" w:type="dxa"/>
            <w:vAlign w:val="bottom"/>
            <w:tcBorders>
              <w:bottom w:val="single" w:sz="8" w:color="EAEAEA"/>
            </w:tcBorders>
            <w:shd w:val="clear" w:color="auto" w:fill="EAEAEA"/>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49</w:t>
            </w: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r>
      <w:tr>
        <w:trPr>
          <w:trHeight w:val="210"/>
        </w:trPr>
        <w:tc>
          <w:tcPr>
            <w:tcW w:w="10340" w:type="dxa"/>
            <w:vAlign w:val="bottom"/>
            <w:tcBorders>
              <w:bottom w:val="single" w:sz="8" w:color="EAEAEA"/>
            </w:tcBorders>
            <w:shd w:val="clear" w:color="auto" w:fill="EAEAEA"/>
          </w:tcPr>
          <w:p>
            <w:pPr>
              <w:spacing w:after="0" w:line="186" w:lineRule="exact"/>
              <w:rPr>
                <w:sz w:val="20"/>
                <w:szCs w:val="20"/>
                <w:color w:val="auto"/>
              </w:rPr>
            </w:pPr>
            <w:r>
              <w:rPr>
                <w:rFonts w:ascii="Times New Roman" w:cs="Times New Roman" w:eastAsia="Times New Roman" w:hAnsi="Times New Roman"/>
                <w:sz w:val="20"/>
                <w:szCs w:val="20"/>
                <w:b w:val="1"/>
                <w:bCs w:val="1"/>
                <w:color w:val="auto"/>
                <w:shd w:val="clear" w:color="auto" w:fill="EAEAEA"/>
              </w:rPr>
              <w:t>PART III</w:t>
            </w:r>
          </w:p>
        </w:tc>
        <w:tc>
          <w:tcPr>
            <w:tcW w:w="460" w:type="dxa"/>
            <w:vAlign w:val="bottom"/>
            <w:tcBorders>
              <w:bottom w:val="single" w:sz="8" w:color="EAEAEA"/>
            </w:tcBorders>
            <w:shd w:val="clear" w:color="auto" w:fill="EAEAEA"/>
          </w:tcPr>
          <w:p>
            <w:pPr>
              <w:spacing w:after="0"/>
              <w:rPr>
                <w:sz w:val="18"/>
                <w:szCs w:val="18"/>
                <w:color w:val="auto"/>
              </w:rPr>
            </w:pP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Items 10 Through 14</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r>
      <w:tr>
        <w:trPr>
          <w:trHeight w:val="210"/>
        </w:trPr>
        <w:tc>
          <w:tcPr>
            <w:tcW w:w="1034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b w:val="1"/>
                <w:bCs w:val="1"/>
                <w:color w:val="auto"/>
                <w:shd w:val="clear" w:color="auto" w:fill="EAEAEA"/>
              </w:rPr>
              <w:t>PART IV</w:t>
            </w:r>
          </w:p>
        </w:tc>
        <w:tc>
          <w:tcPr>
            <w:tcW w:w="460" w:type="dxa"/>
            <w:vAlign w:val="bottom"/>
            <w:tcBorders>
              <w:bottom w:val="single" w:sz="8" w:color="EAEAEA"/>
            </w:tcBorders>
            <w:shd w:val="clear" w:color="auto" w:fill="EAEAEA"/>
          </w:tcPr>
          <w:p>
            <w:pPr>
              <w:spacing w:after="0"/>
              <w:rPr>
                <w:sz w:val="18"/>
                <w:szCs w:val="18"/>
                <w:color w:val="auto"/>
              </w:rPr>
            </w:pPr>
          </w:p>
        </w:tc>
      </w:tr>
      <w:tr>
        <w:trPr>
          <w:trHeight w:val="230"/>
        </w:trPr>
        <w:tc>
          <w:tcPr>
            <w:tcW w:w="10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15. Exhibits and Financial Statement Schedules</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80</w:t>
            </w:r>
          </w:p>
        </w:tc>
      </w:tr>
      <w:tr>
        <w:trPr>
          <w:trHeight w:val="189"/>
        </w:trPr>
        <w:tc>
          <w:tcPr>
            <w:tcW w:w="10340" w:type="dxa"/>
            <w:vAlign w:val="bottom"/>
            <w:shd w:val="clear" w:color="auto" w:fill="EAEAEA"/>
          </w:tcPr>
          <w:p>
            <w:pPr>
              <w:ind w:left="28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Item 16. Form 10-K Summary</w:t>
            </w:r>
          </w:p>
        </w:tc>
        <w:tc>
          <w:tcPr>
            <w:tcW w:w="460" w:type="dxa"/>
            <w:vAlign w:val="bottom"/>
            <w:shd w:val="clear" w:color="auto" w:fill="EAEAEA"/>
          </w:tcPr>
          <w:p>
            <w:pPr>
              <w:ind w:left="1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81</w:t>
            </w:r>
          </w:p>
        </w:tc>
      </w:tr>
      <w:tr>
        <w:trPr>
          <w:trHeight w:val="41"/>
        </w:trPr>
        <w:tc>
          <w:tcPr>
            <w:tcW w:w="10340" w:type="dxa"/>
            <w:vAlign w:val="bottom"/>
            <w:shd w:val="clear" w:color="auto" w:fill="EAEAEA"/>
          </w:tcPr>
          <w:p>
            <w:pPr>
              <w:spacing w:after="0"/>
              <w:rPr>
                <w:sz w:val="3"/>
                <w:szCs w:val="3"/>
                <w:color w:val="auto"/>
              </w:rPr>
            </w:pPr>
          </w:p>
        </w:tc>
        <w:tc>
          <w:tcPr>
            <w:tcW w:w="46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6555740</wp:posOffset>
            </wp:positionH>
            <wp:positionV relativeFrom="paragraph">
              <wp:posOffset>-7168515</wp:posOffset>
            </wp:positionV>
            <wp:extent cx="31432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extLst>
                    </a:blip>
                    <a:srcRect/>
                    <a:stretch>
                      <a:fillRect/>
                    </a:stretch>
                  </pic:blipFill>
                  <pic:spPr bwMode="auto">
                    <a:xfrm>
                      <a:off x="0" y="0"/>
                      <a:ext cx="314325" cy="25400"/>
                    </a:xfrm>
                    <a:prstGeom prst="rect">
                      <a:avLst/>
                    </a:prstGeom>
                    <a:noFill/>
                  </pic:spPr>
                </pic:pic>
              </a:graphicData>
            </a:graphic>
          </wp:anchor>
        </w:drawing>
      </w:r>
    </w:p>
    <w:p>
      <w:pPr>
        <w:sectPr>
          <w:pgSz w:w="12240" w:h="15840" w:orient="portrait"/>
          <w:cols w:equalWidth="0" w:num="1">
            <w:col w:w="10800"/>
          </w:cols>
          <w:pgMar w:left="720" w:top="926" w:right="72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10800"/>
          </w:cols>
          <w:pgMar w:left="720" w:top="926" w:right="720" w:bottom="222"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i w:val="1"/>
          <w:iCs w:val="1"/>
          <w:color w:val="auto"/>
        </w:rPr>
        <w:t>Business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0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Kirby Corporation (the “Company”) is the nation’s largest domestic tank barge operator, transporting bulk liquid products throughout the Mississippi River System, on the Gulf Intracoastal Waterway, and coastwise along all three United States coasts. The Company, through its marine transportation segment (“KMT”), transports petrochemicals, black oil, refined petroleum products, and agricultural chemicals by tank barge. In addition, the Company participates in the transportation of dry-bulk commodities in United States coastwise trade. Through its distribution and services segment (“KDS”), the Company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spacing w:after="0" w:line="20" w:lineRule="exact"/>
        <w:rPr>
          <w:sz w:val="20"/>
          <w:szCs w:val="20"/>
          <w:color w:val="auto"/>
        </w:rPr>
      </w:pPr>
    </w:p>
    <w:p>
      <w:pPr>
        <w:spacing w:after="0" w:line="144"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color w:val="auto"/>
        </w:rPr>
        <w:t>Unless the context otherwise requires, all references herein to the Company include the Company and its subsidiaries. The Company’s principal executive office is located at 55 Waugh Drive, Suite 1000, Houston, Texas 77007, and its telephone number is 713-435-1000. The Company’s mailing address is P.O. Box 1745, Houston, Texas 77251-1745. Kirby Corporation is a Nevada corporation and was incorporated in 1969 although the history of the Company goes back to 1921.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Documents and Information Available on Website</w:t>
      </w:r>
    </w:p>
    <w:p>
      <w:pPr>
        <w:spacing w:after="0" w:line="20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Internet address of the Company’s website is http://www.kirbycorp.com. The Company makes available free of charge through its website, all of its filings with the Securities and Exchange Commission (“SEC”), including its Annual Report on Form 10 K, Quarterly Reports on Form 10 Q, Current Reports on Form 8 K and amendments to those reports, as soon as reasonably practicable after they are electronically filed with or furnished to the SEC. The SEC maintains an internet site at http://www. ec.gov that contains reports, proxy and information statements, and other information regarding issuers that file electronically with the SEC.</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documents are available on the Company’s website in the Investor Relations section under Governance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8" w:lineRule="exact"/>
        <w:rPr>
          <w:sz w:val="20"/>
          <w:szCs w:val="20"/>
          <w:color w:val="auto"/>
        </w:rPr>
      </w:pPr>
    </w:p>
    <w:p>
      <w:pPr>
        <w:ind w:left="700"/>
        <w:spacing w:after="0"/>
        <w:tabs>
          <w:tab w:leader="none" w:pos="5760" w:val="left"/>
        </w:tabs>
        <w:rPr>
          <w:sz w:val="20"/>
          <w:szCs w:val="20"/>
          <w:color w:val="auto"/>
        </w:rPr>
      </w:pPr>
      <w:r>
        <w:rPr>
          <w:rFonts w:ascii="Times New Roman" w:cs="Times New Roman" w:eastAsia="Times New Roman" w:hAnsi="Times New Roman"/>
          <w:sz w:val="20"/>
          <w:szCs w:val="20"/>
          <w:color w:val="auto"/>
        </w:rPr>
        <w:t>Audit Committee Charter</w:t>
      </w:r>
      <w:r>
        <w:rPr>
          <w:sz w:val="20"/>
          <w:szCs w:val="20"/>
          <w:color w:val="auto"/>
        </w:rPr>
        <w:tab/>
      </w:r>
      <w:r>
        <w:rPr>
          <w:rFonts w:ascii="Times New Roman" w:cs="Times New Roman" w:eastAsia="Times New Roman" w:hAnsi="Times New Roman"/>
          <w:sz w:val="20"/>
          <w:szCs w:val="20"/>
          <w:color w:val="auto"/>
        </w:rPr>
        <w:t>Corporate Governance Guidelines</w:t>
      </w:r>
    </w:p>
    <w:p>
      <w:pPr>
        <w:spacing w:after="0" w:line="14" w:lineRule="exact"/>
        <w:rPr>
          <w:sz w:val="20"/>
          <w:szCs w:val="20"/>
          <w:color w:val="auto"/>
        </w:rPr>
      </w:pPr>
    </w:p>
    <w:p>
      <w:pPr>
        <w:ind w:left="700"/>
        <w:spacing w:after="0"/>
        <w:tabs>
          <w:tab w:leader="none" w:pos="5760" w:val="left"/>
        </w:tabs>
        <w:rPr>
          <w:sz w:val="20"/>
          <w:szCs w:val="20"/>
          <w:color w:val="auto"/>
        </w:rPr>
      </w:pPr>
      <w:r>
        <w:rPr>
          <w:rFonts w:ascii="Times New Roman" w:cs="Times New Roman" w:eastAsia="Times New Roman" w:hAnsi="Times New Roman"/>
          <w:sz w:val="20"/>
          <w:szCs w:val="20"/>
          <w:color w:val="auto"/>
        </w:rPr>
        <w:t>Compensation Committee Charter</w:t>
      </w:r>
      <w:r>
        <w:rPr>
          <w:sz w:val="20"/>
          <w:szCs w:val="20"/>
          <w:color w:val="auto"/>
        </w:rPr>
        <w:tab/>
      </w:r>
      <w:r>
        <w:rPr>
          <w:rFonts w:ascii="Times New Roman" w:cs="Times New Roman" w:eastAsia="Times New Roman" w:hAnsi="Times New Roman"/>
          <w:sz w:val="19"/>
          <w:szCs w:val="19"/>
          <w:color w:val="auto"/>
        </w:rPr>
        <w:t>Clawback Policy</w:t>
      </w:r>
    </w:p>
    <w:p>
      <w:pPr>
        <w:spacing w:after="0" w:line="14" w:lineRule="exact"/>
        <w:rPr>
          <w:sz w:val="20"/>
          <w:szCs w:val="20"/>
          <w:color w:val="auto"/>
        </w:rPr>
      </w:pPr>
    </w:p>
    <w:p>
      <w:pPr>
        <w:ind w:left="700"/>
        <w:spacing w:after="0"/>
        <w:tabs>
          <w:tab w:leader="none" w:pos="5760" w:val="left"/>
        </w:tabs>
        <w:rPr>
          <w:sz w:val="20"/>
          <w:szCs w:val="20"/>
          <w:color w:val="auto"/>
        </w:rPr>
      </w:pPr>
      <w:r>
        <w:rPr>
          <w:rFonts w:ascii="Times New Roman" w:cs="Times New Roman" w:eastAsia="Times New Roman" w:hAnsi="Times New Roman"/>
          <w:sz w:val="20"/>
          <w:szCs w:val="20"/>
          <w:color w:val="auto"/>
        </w:rPr>
        <w:t>ESG and Nominating Committee Charter</w:t>
      </w:r>
      <w:r>
        <w:rPr>
          <w:sz w:val="20"/>
          <w:szCs w:val="20"/>
          <w:color w:val="auto"/>
        </w:rPr>
        <w:tab/>
      </w:r>
      <w:r>
        <w:rPr>
          <w:rFonts w:ascii="Times New Roman" w:cs="Times New Roman" w:eastAsia="Times New Roman" w:hAnsi="Times New Roman"/>
          <w:sz w:val="19"/>
          <w:szCs w:val="19"/>
          <w:color w:val="auto"/>
        </w:rPr>
        <w:t>Insider Trading Policy</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Business Ethics Guidelines</w:t>
      </w:r>
    </w:p>
    <w:p>
      <w:pPr>
        <w:spacing w:after="0" w:line="17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AND PROPERTY</w:t>
      </w:r>
    </w:p>
    <w:p>
      <w:pPr>
        <w:spacing w:after="0" w:line="204"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color w:val="auto"/>
        </w:rPr>
        <w:t>The Company, through its subsidiaries, conducts operations in two reportable business segments: marine transportation and distribution and services.</w:t>
      </w:r>
    </w:p>
    <w:p>
      <w:pPr>
        <w:spacing w:after="0" w:line="12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through KMT, is a provider of marine transportation services, operating tank barges and towing vessels transporting bulk liquid products throughout the Mississippi River System, on the Gulf Intracoastal Waterway, and coastwise along all three United States coasts.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160"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The Company, through KDS, provides equipment, after-market parts and services for power generation systems in applications that include behind the meter power systems and emergency backup systems, after-market and genuine replacement parts and servic for engines, transmissions, reduction gears, electric motors, drives, and controls, specialized electrical distribution and controls</w:t>
      </w:r>
    </w:p>
    <w:p>
      <w:pPr>
        <w:sectPr>
          <w:pgSz w:w="12240" w:h="15840" w:orient="portrait"/>
          <w:cols w:equalWidth="0" w:num="1">
            <w:col w:w="10800"/>
          </w:cols>
          <w:pgMar w:left="720" w:top="927" w:right="720" w:bottom="222"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10800"/>
          </w:cols>
          <w:pgMar w:left="720" w:top="927" w:right="720" w:bottom="222" w:gutter="0" w:footer="0" w:header="0"/>
          <w:type w:val="continuous"/>
        </w:sectPr>
      </w:pPr>
    </w:p>
    <w:bookmarkStart w:id="16" w:name="page17"/>
    <w:bookmarkEnd w:id="16"/>
    <w:p>
      <w:pPr>
        <w:jc w:val="both"/>
        <w:ind w:firstLine="10"/>
        <w:spacing w:after="0" w:line="249" w:lineRule="auto"/>
        <w:rPr>
          <w:sz w:val="20"/>
          <w:szCs w:val="20"/>
          <w:color w:val="auto"/>
        </w:rPr>
      </w:pPr>
      <w:r>
        <w:rPr>
          <w:rFonts w:ascii="Times New Roman" w:cs="Times New Roman" w:eastAsia="Times New Roman" w:hAnsi="Times New Roman"/>
          <w:sz w:val="20"/>
          <w:szCs w:val="20"/>
          <w:color w:val="auto"/>
        </w:rPr>
        <w:t>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spacing w:after="0" w:line="157"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20"/>
          <w:szCs w:val="20"/>
          <w:color w:val="auto"/>
        </w:rPr>
        <w:t>The Company has approximately 5,233 employees, the large majority of whom are in the United States.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MARINE TRANSPORTATION</w:t>
      </w:r>
    </w:p>
    <w:p>
      <w:pPr>
        <w:spacing w:after="0" w:line="2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KMT is primarily a provider of transportation services by tank barge for the inland and coastal markets. As of December 31,</w:t>
      </w:r>
    </w:p>
    <w:p>
      <w:pPr>
        <w:spacing w:after="0" w:line="36" w:lineRule="exact"/>
        <w:rPr>
          <w:sz w:val="20"/>
          <w:szCs w:val="20"/>
          <w:color w:val="auto"/>
        </w:rPr>
      </w:pPr>
    </w:p>
    <w:p>
      <w:pPr>
        <w:jc w:val="both"/>
        <w:ind w:firstLine="4"/>
        <w:spacing w:after="0"/>
        <w:rPr>
          <w:sz w:val="20"/>
          <w:szCs w:val="20"/>
          <w:color w:val="auto"/>
        </w:rPr>
      </w:pPr>
      <w:r>
        <w:rPr>
          <w:rFonts w:ascii="Times New Roman" w:cs="Times New Roman" w:eastAsia="Times New Roman" w:hAnsi="Times New Roman"/>
          <w:sz w:val="20"/>
          <w:szCs w:val="20"/>
          <w:color w:val="auto"/>
        </w:rPr>
        <w:t>2025, the equipment owned or operated by KMT consisted of 1,105 inland tank barges with 24.5 million barrels of capacity, and an average of 266 inland towboats during the fourth quarter of 2025, as well as 28 coastal tank barges with 2.9 million barrels of capacity, 24 coastal tugboats, four offshore dry-bulk cargo barges, three offshore tugboats and one docking tugboat with the following specifications and capacities:</w:t>
      </w:r>
    </w:p>
    <w:p>
      <w:pPr>
        <w:spacing w:after="0" w:line="20" w:lineRule="exact"/>
        <w:rPr>
          <w:sz w:val="20"/>
          <w:szCs w:val="20"/>
          <w:color w:val="auto"/>
        </w:r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Number in</w:t>
            </w:r>
          </w:p>
        </w:tc>
        <w:tc>
          <w:tcPr>
            <w:tcW w:w="2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 age</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Barrel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47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restart"/>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4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7"/>
              </w:rPr>
              <w:t>Class of equipment</w:t>
            </w:r>
          </w:p>
        </w:tc>
        <w:tc>
          <w:tcPr>
            <w:tcW w:w="4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EAEAEA"/>
            </w:tcBorders>
          </w:tcPr>
          <w:p>
            <w:pPr>
              <w:spacing w:after="0"/>
              <w:rPr>
                <w:sz w:val="12"/>
                <w:szCs w:val="12"/>
                <w:color w:val="auto"/>
              </w:rPr>
            </w:pPr>
          </w:p>
        </w:tc>
        <w:tc>
          <w:tcPr>
            <w:tcW w:w="13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EAEAEA"/>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6"/>
              </w:rPr>
              <w:t>(in years)</w:t>
            </w:r>
          </w:p>
        </w:tc>
        <w:tc>
          <w:tcPr>
            <w:tcW w:w="3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EAEAEA"/>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8"/>
              </w:rPr>
              <w:t>capacities</w:t>
            </w:r>
          </w:p>
        </w:tc>
        <w:tc>
          <w:tcPr>
            <w:tcW w:w="3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EAEAEA"/>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608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Inland tank barges (owned and leased):</w:t>
            </w:r>
          </w:p>
        </w:tc>
        <w:tc>
          <w:tcPr>
            <w:tcW w:w="140" w:type="dxa"/>
            <w:vAlign w:val="bottom"/>
            <w:shd w:val="clear" w:color="auto" w:fill="EAEAEA"/>
          </w:tcPr>
          <w:p>
            <w:pPr>
              <w:spacing w:after="0"/>
              <w:rPr>
                <w:sz w:val="20"/>
                <w:szCs w:val="20"/>
                <w:color w:val="auto"/>
              </w:rPr>
            </w:pPr>
          </w:p>
        </w:tc>
        <w:tc>
          <w:tcPr>
            <w:tcW w:w="12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62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0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Regular double hull:</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80" w:type="dxa"/>
            <w:vAlign w:val="bottom"/>
            <w:tcBorders>
              <w:bottom w:val="single" w:sz="8" w:color="EAEAEA"/>
            </w:tcBorders>
            <w:gridSpan w:val="2"/>
            <w:shd w:val="clear" w:color="auto" w:fill="EAEAEA"/>
          </w:tcPr>
          <w:p>
            <w:pPr>
              <w:ind w:left="40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20,000 barrels and under</w:t>
            </w:r>
          </w:p>
        </w:tc>
        <w:tc>
          <w:tcPr>
            <w:tcW w:w="140" w:type="dxa"/>
            <w:vAlign w:val="bottom"/>
            <w:tcBorders>
              <w:bottom w:val="single" w:sz="8" w:color="EAEAEA"/>
            </w:tcBorders>
            <w:shd w:val="clear" w:color="auto" w:fill="EAEAEA"/>
          </w:tcPr>
          <w:p>
            <w:pPr>
              <w:spacing w:after="0"/>
              <w:rPr>
                <w:sz w:val="19"/>
                <w:szCs w:val="19"/>
                <w:color w:val="auto"/>
              </w:rPr>
            </w:pPr>
          </w:p>
        </w:tc>
        <w:tc>
          <w:tcPr>
            <w:tcW w:w="1340" w:type="dxa"/>
            <w:vAlign w:val="bottom"/>
            <w:tcBorders>
              <w:bottom w:val="single" w:sz="8" w:color="EAEAEA"/>
            </w:tcBorders>
            <w:gridSpan w:val="2"/>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433</w:t>
            </w:r>
          </w:p>
        </w:tc>
        <w:tc>
          <w:tcPr>
            <w:tcW w:w="1220" w:type="dxa"/>
            <w:vAlign w:val="bottom"/>
            <w:tcBorders>
              <w:bottom w:val="single" w:sz="8" w:color="EAEAEA"/>
            </w:tcBorders>
            <w:gridSpan w:val="3"/>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1"/>
                <w:shd w:val="clear" w:color="auto" w:fill="EAEAEA"/>
              </w:rPr>
              <w:t>19.5</w:t>
            </w:r>
          </w:p>
        </w:tc>
        <w:tc>
          <w:tcPr>
            <w:tcW w:w="620" w:type="dxa"/>
            <w:vAlign w:val="bottom"/>
            <w:tcBorders>
              <w:bottom w:val="single" w:sz="8" w:color="EAEAEA"/>
            </w:tcBorders>
            <w:gridSpan w:val="3"/>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gridSpan w:val="4"/>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5,257,000</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60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0"/>
                <w:szCs w:val="20"/>
                <w:color w:val="auto"/>
              </w:rPr>
              <w:t>Over 20,000 barrels</w:t>
            </w: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620" w:type="dxa"/>
            <w:vAlign w:val="bottom"/>
            <w:gridSpan w:val="3"/>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08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4"/>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rPr>
              <w:t>19,257,000</w:t>
            </w: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EAEAEA"/>
            </w:tcBorders>
          </w:tcPr>
          <w:p>
            <w:pPr>
              <w:spacing w:after="0" w:line="20" w:lineRule="exact"/>
              <w:rPr>
                <w:sz w:val="1"/>
                <w:szCs w:val="1"/>
                <w:color w:val="auto"/>
              </w:rPr>
            </w:pPr>
          </w:p>
        </w:tc>
        <w:tc>
          <w:tcPr>
            <w:tcW w:w="478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tcBorders>
              <w:bottom w:val="single" w:sz="8" w:color="EAEAEA"/>
            </w:tcBorders>
            <w:gridSpan w:val="2"/>
            <w:shd w:val="clear" w:color="auto" w:fill="EAEAEA"/>
          </w:tcPr>
          <w:p>
            <w:pPr>
              <w:ind w:left="400"/>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Total inland tank barges</w:t>
            </w:r>
          </w:p>
        </w:tc>
        <w:tc>
          <w:tcPr>
            <w:tcW w:w="140" w:type="dxa"/>
            <w:vAlign w:val="bottom"/>
            <w:tcBorders>
              <w:bottom w:val="single" w:sz="8" w:color="EAEAEA"/>
            </w:tcBorders>
            <w:shd w:val="clear" w:color="auto" w:fill="EAEAEA"/>
          </w:tcPr>
          <w:p>
            <w:pPr>
              <w:spacing w:after="0"/>
              <w:rPr>
                <w:sz w:val="19"/>
                <w:szCs w:val="19"/>
                <w:color w:val="auto"/>
              </w:rPr>
            </w:pPr>
          </w:p>
        </w:tc>
        <w:tc>
          <w:tcPr>
            <w:tcW w:w="134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rPr>
              <w:t>1,105</w:t>
            </w:r>
          </w:p>
        </w:tc>
        <w:tc>
          <w:tcPr>
            <w:tcW w:w="24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gridSpan w:val="2"/>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91"/>
                <w:shd w:val="clear" w:color="auto" w:fill="EAEAEA"/>
              </w:rPr>
              <w:t>17.8</w:t>
            </w:r>
          </w:p>
        </w:tc>
        <w:tc>
          <w:tcPr>
            <w:tcW w:w="26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gridSpan w:val="2"/>
            <w:shd w:val="clear" w:color="auto" w:fill="EAEAEA"/>
          </w:tcPr>
          <w:p>
            <w:pPr>
              <w:spacing w:after="0"/>
              <w:rPr>
                <w:sz w:val="19"/>
                <w:szCs w:val="19"/>
                <w:color w:val="auto"/>
              </w:rPr>
            </w:pPr>
          </w:p>
        </w:tc>
        <w:tc>
          <w:tcPr>
            <w:tcW w:w="960" w:type="dxa"/>
            <w:vAlign w:val="bottom"/>
            <w:tcBorders>
              <w:bottom w:val="single" w:sz="8" w:color="EAEAEA"/>
            </w:tcBorders>
            <w:gridSpan w:val="5"/>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24,514,000</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Inland towboats (owned and chartered):</w:t>
            </w:r>
          </w:p>
        </w:tc>
        <w:tc>
          <w:tcPr>
            <w:tcW w:w="140" w:type="dxa"/>
            <w:vAlign w:val="bottom"/>
            <w:shd w:val="clear" w:color="auto" w:fill="EAEAEA"/>
          </w:tcPr>
          <w:p>
            <w:pPr>
              <w:spacing w:after="0"/>
              <w:rPr>
                <w:sz w:val="21"/>
                <w:szCs w:val="21"/>
                <w:color w:val="auto"/>
              </w:rPr>
            </w:pPr>
          </w:p>
        </w:tc>
        <w:tc>
          <w:tcPr>
            <w:tcW w:w="124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6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0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800 to 1300 horsepower</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80" w:type="dxa"/>
            <w:vAlign w:val="bottom"/>
            <w:tcBorders>
              <w:bottom w:val="single" w:sz="8" w:color="EAEAEA"/>
            </w:tcBorders>
            <w:gridSpan w:val="2"/>
            <w:shd w:val="clear" w:color="auto" w:fill="EAEAEA"/>
          </w:tcPr>
          <w:p>
            <w:pPr>
              <w:ind w:left="2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1400 to 1900 horsepower</w:t>
            </w:r>
          </w:p>
        </w:tc>
        <w:tc>
          <w:tcPr>
            <w:tcW w:w="140" w:type="dxa"/>
            <w:vAlign w:val="bottom"/>
            <w:tcBorders>
              <w:bottom w:val="single" w:sz="8" w:color="EAEAEA"/>
            </w:tcBorders>
            <w:shd w:val="clear" w:color="auto" w:fill="EAEAEA"/>
          </w:tcPr>
          <w:p>
            <w:pPr>
              <w:spacing w:after="0"/>
              <w:rPr>
                <w:sz w:val="19"/>
                <w:szCs w:val="19"/>
                <w:color w:val="auto"/>
              </w:rPr>
            </w:pPr>
          </w:p>
        </w:tc>
        <w:tc>
          <w:tcPr>
            <w:tcW w:w="1340" w:type="dxa"/>
            <w:vAlign w:val="bottom"/>
            <w:tcBorders>
              <w:bottom w:val="single" w:sz="8" w:color="EAEAEA"/>
            </w:tcBorders>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27</w:t>
            </w:r>
          </w:p>
        </w:tc>
        <w:tc>
          <w:tcPr>
            <w:tcW w:w="1220" w:type="dxa"/>
            <w:vAlign w:val="bottom"/>
            <w:tcBorders>
              <w:bottom w:val="single" w:sz="8" w:color="EAEAEA"/>
            </w:tcBorders>
            <w:gridSpan w:val="3"/>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1"/>
                <w:shd w:val="clear" w:color="auto" w:fill="EAEAEA"/>
              </w:rPr>
              <w:t>19.0</w:t>
            </w:r>
          </w:p>
        </w:tc>
        <w:tc>
          <w:tcPr>
            <w:tcW w:w="26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2000 to 2400 horsepower</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80" w:type="dxa"/>
            <w:vAlign w:val="bottom"/>
            <w:tcBorders>
              <w:bottom w:val="single" w:sz="8" w:color="EAEAEA"/>
            </w:tcBorders>
            <w:gridSpan w:val="2"/>
            <w:shd w:val="clear" w:color="auto" w:fill="EAEAEA"/>
          </w:tcPr>
          <w:p>
            <w:pPr>
              <w:ind w:left="20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2500 to 3200 horsepower</w:t>
            </w:r>
          </w:p>
        </w:tc>
        <w:tc>
          <w:tcPr>
            <w:tcW w:w="140" w:type="dxa"/>
            <w:vAlign w:val="bottom"/>
            <w:tcBorders>
              <w:bottom w:val="single" w:sz="8" w:color="EAEAEA"/>
            </w:tcBorders>
            <w:shd w:val="clear" w:color="auto" w:fill="EAEAEA"/>
          </w:tcPr>
          <w:p>
            <w:pPr>
              <w:spacing w:after="0"/>
              <w:rPr>
                <w:sz w:val="19"/>
                <w:szCs w:val="19"/>
                <w:color w:val="auto"/>
              </w:rPr>
            </w:pPr>
          </w:p>
        </w:tc>
        <w:tc>
          <w:tcPr>
            <w:tcW w:w="1340" w:type="dxa"/>
            <w:vAlign w:val="bottom"/>
            <w:tcBorders>
              <w:bottom w:val="single" w:sz="8" w:color="EAEAEA"/>
            </w:tcBorders>
            <w:gridSpan w:val="2"/>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38</w:t>
            </w:r>
          </w:p>
        </w:tc>
        <w:tc>
          <w:tcPr>
            <w:tcW w:w="1220" w:type="dxa"/>
            <w:vAlign w:val="bottom"/>
            <w:tcBorders>
              <w:bottom w:val="single" w:sz="8" w:color="EAEAEA"/>
            </w:tcBorders>
            <w:gridSpan w:val="3"/>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1"/>
                <w:shd w:val="clear" w:color="auto" w:fill="EAEAEA"/>
              </w:rPr>
              <w:t>12.4</w:t>
            </w:r>
          </w:p>
        </w:tc>
        <w:tc>
          <w:tcPr>
            <w:tcW w:w="26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3300 to 4800 horsepower</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EAEAEA"/>
            </w:tcBorders>
            <w:gridSpan w:val="2"/>
            <w:shd w:val="clear" w:color="auto" w:fill="EAEAEA"/>
          </w:tcPr>
          <w:p>
            <w:pPr>
              <w:ind w:left="20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Greater than 5000 horsepower</w:t>
            </w:r>
          </w:p>
        </w:tc>
        <w:tc>
          <w:tcPr>
            <w:tcW w:w="1380" w:type="dxa"/>
            <w:vAlign w:val="bottom"/>
            <w:tcBorders>
              <w:bottom w:val="single" w:sz="8" w:color="EAEAEA"/>
            </w:tcBorders>
            <w:gridSpan w:val="2"/>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7</w:t>
            </w:r>
          </w:p>
        </w:tc>
        <w:tc>
          <w:tcPr>
            <w:tcW w:w="1220" w:type="dxa"/>
            <w:vAlign w:val="bottom"/>
            <w:tcBorders>
              <w:bottom w:val="single" w:sz="8" w:color="EAEAEA"/>
            </w:tcBorders>
            <w:gridSpan w:val="3"/>
            <w:shd w:val="clear" w:color="auto" w:fill="EAEAEA"/>
          </w:tcPr>
          <w:p>
            <w:pPr>
              <w:spacing w:after="0"/>
              <w:rPr>
                <w:sz w:val="21"/>
                <w:szCs w:val="21"/>
                <w:color w:val="auto"/>
              </w:rPr>
            </w:pPr>
          </w:p>
        </w:tc>
        <w:tc>
          <w:tcPr>
            <w:tcW w:w="3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1"/>
                <w:shd w:val="clear" w:color="auto" w:fill="EAEAEA"/>
              </w:rPr>
              <w:t>19.7</w:t>
            </w:r>
          </w:p>
        </w:tc>
        <w:tc>
          <w:tcPr>
            <w:tcW w:w="26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40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080" w:type="dxa"/>
            <w:vAlign w:val="bottom"/>
            <w:tcBorders>
              <w:bottom w:val="single" w:sz="8" w:color="EAEAEA"/>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inland towboats</w:t>
            </w:r>
          </w:p>
        </w:tc>
        <w:tc>
          <w:tcPr>
            <w:tcW w:w="140" w:type="dxa"/>
            <w:vAlign w:val="bottom"/>
            <w:tcBorders>
              <w:bottom w:val="single" w:sz="8" w:color="EAEAEA"/>
            </w:tcBorders>
          </w:tcPr>
          <w:p>
            <w:pPr>
              <w:spacing w:after="0"/>
              <w:rPr>
                <w:sz w:val="24"/>
                <w:szCs w:val="24"/>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240" w:type="dxa"/>
            <w:vAlign w:val="bottom"/>
            <w:tcBorders>
              <w:bottom w:val="single" w:sz="8" w:color="EAEAEA"/>
            </w:tcBorders>
          </w:tcPr>
          <w:p>
            <w:pPr>
              <w:spacing w:after="0"/>
              <w:rPr>
                <w:sz w:val="24"/>
                <w:szCs w:val="24"/>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60" w:type="dxa"/>
            <w:vAlign w:val="bottom"/>
            <w:tcBorders>
              <w:bottom w:val="single" w:sz="8" w:color="EAEAEA"/>
            </w:tcBorders>
          </w:tcPr>
          <w:p>
            <w:pPr>
              <w:spacing w:after="0"/>
              <w:rPr>
                <w:sz w:val="24"/>
                <w:szCs w:val="24"/>
                <w:color w:val="auto"/>
              </w:rPr>
            </w:pPr>
          </w:p>
        </w:tc>
        <w:tc>
          <w:tcPr>
            <w:tcW w:w="32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80" w:type="dxa"/>
            <w:vAlign w:val="bottom"/>
            <w:tcBorders>
              <w:bottom w:val="single" w:sz="8" w:color="EAEAEA"/>
            </w:tcBorders>
          </w:tcPr>
          <w:p>
            <w:pPr>
              <w:spacing w:after="0"/>
              <w:rPr>
                <w:sz w:val="24"/>
                <w:szCs w:val="24"/>
                <w:color w:val="auto"/>
              </w:rPr>
            </w:pPr>
          </w:p>
        </w:tc>
        <w:tc>
          <w:tcPr>
            <w:tcW w:w="100" w:type="dxa"/>
            <w:vAlign w:val="bottom"/>
            <w:tcBorders>
              <w:bottom w:val="single" w:sz="8" w:color="EAEAEA"/>
            </w:tcBorders>
          </w:tcPr>
          <w:p>
            <w:pPr>
              <w:spacing w:after="0"/>
              <w:rPr>
                <w:sz w:val="24"/>
                <w:szCs w:val="24"/>
                <w:color w:val="auto"/>
              </w:rPr>
            </w:pPr>
          </w:p>
        </w:tc>
        <w:tc>
          <w:tcPr>
            <w:tcW w:w="40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340" w:type="dxa"/>
            <w:vAlign w:val="bottom"/>
            <w:tcBorders>
              <w:bottom w:val="single" w:sz="8" w:color="EAEAEA"/>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60" w:type="dxa"/>
            <w:vAlign w:val="bottom"/>
            <w:tcBorders>
              <w:bottom w:val="single" w:sz="8" w:color="EAEAEA"/>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shd w:val="clear" w:color="auto" w:fill="EAEAEA"/>
          </w:tcPr>
          <w:p>
            <w:pPr>
              <w:spacing w:after="0"/>
              <w:rPr>
                <w:sz w:val="19"/>
                <w:szCs w:val="19"/>
                <w:color w:val="auto"/>
              </w:rPr>
            </w:pPr>
          </w:p>
        </w:tc>
        <w:tc>
          <w:tcPr>
            <w:tcW w:w="47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62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Coastal tank barges (owned):</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80" w:type="dxa"/>
            <w:vAlign w:val="bottom"/>
            <w:tcBorders>
              <w:bottom w:val="single" w:sz="8" w:color="EAEAEA"/>
            </w:tcBorders>
            <w:gridSpan w:val="2"/>
            <w:shd w:val="clear" w:color="auto" w:fill="EAEAEA"/>
          </w:tcPr>
          <w:p>
            <w:pPr>
              <w:ind w:left="200"/>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30,000 barrels and under</w:t>
            </w:r>
          </w:p>
        </w:tc>
        <w:tc>
          <w:tcPr>
            <w:tcW w:w="1380" w:type="dxa"/>
            <w:vAlign w:val="bottom"/>
            <w:tcBorders>
              <w:bottom w:val="single" w:sz="8" w:color="EAEAEA"/>
            </w:tcBorders>
            <w:gridSpan w:val="2"/>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2</w:t>
            </w:r>
          </w:p>
        </w:tc>
        <w:tc>
          <w:tcPr>
            <w:tcW w:w="1220" w:type="dxa"/>
            <w:vAlign w:val="bottom"/>
            <w:tcBorders>
              <w:bottom w:val="single" w:sz="8" w:color="EAEAEA"/>
            </w:tcBorders>
            <w:gridSpan w:val="3"/>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w w:val="91"/>
                <w:shd w:val="clear" w:color="auto" w:fill="EAEAEA"/>
              </w:rPr>
              <w:t>31.0</w:t>
            </w:r>
          </w:p>
        </w:tc>
        <w:tc>
          <w:tcPr>
            <w:tcW w:w="620" w:type="dxa"/>
            <w:vAlign w:val="bottom"/>
            <w:tcBorders>
              <w:bottom w:val="single" w:sz="8" w:color="EAEAEA"/>
            </w:tcBorders>
            <w:gridSpan w:val="3"/>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gridSpan w:val="3"/>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37,000</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50,000 to 70,000 barrels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1600" w:type="dxa"/>
            <w:vAlign w:val="bottom"/>
            <w:gridSpan w:val="9"/>
          </w:tcPr>
          <w:p>
            <w:pPr>
              <w:jc w:val="right"/>
              <w:ind w:right="20"/>
              <w:spacing w:after="0"/>
              <w:rPr>
                <w:sz w:val="20"/>
                <w:szCs w:val="20"/>
                <w:color w:val="auto"/>
              </w:rPr>
            </w:pPr>
            <w:r>
              <w:rPr>
                <w:rFonts w:ascii="Times New Roman" w:cs="Times New Roman" w:eastAsia="Times New Roman" w:hAnsi="Times New Roman"/>
                <w:sz w:val="20"/>
                <w:szCs w:val="20"/>
                <w:color w:val="auto"/>
              </w:rPr>
              <w:t>111,000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80" w:type="dxa"/>
            <w:vAlign w:val="bottom"/>
            <w:tcBorders>
              <w:bottom w:val="single" w:sz="8" w:color="EAEAEA"/>
            </w:tcBorders>
            <w:gridSpan w:val="2"/>
            <w:shd w:val="clear" w:color="auto" w:fill="EAEAEA"/>
          </w:tcPr>
          <w:p>
            <w:pPr>
              <w:ind w:left="22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80,000 to 90,000 barrels</w:t>
            </w:r>
          </w:p>
        </w:tc>
        <w:tc>
          <w:tcPr>
            <w:tcW w:w="1380" w:type="dxa"/>
            <w:vAlign w:val="bottom"/>
            <w:tcBorders>
              <w:bottom w:val="single" w:sz="8" w:color="EAEAEA"/>
            </w:tcBorders>
            <w:gridSpan w:val="2"/>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8</w:t>
            </w:r>
          </w:p>
        </w:tc>
        <w:tc>
          <w:tcPr>
            <w:tcW w:w="1220" w:type="dxa"/>
            <w:vAlign w:val="bottom"/>
            <w:tcBorders>
              <w:bottom w:val="single" w:sz="8" w:color="EAEAEA"/>
            </w:tcBorders>
            <w:gridSpan w:val="3"/>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1"/>
                <w:shd w:val="clear" w:color="auto" w:fill="EAEAEA"/>
              </w:rPr>
              <w:t>21.9</w:t>
            </w:r>
          </w:p>
        </w:tc>
        <w:tc>
          <w:tcPr>
            <w:tcW w:w="620" w:type="dxa"/>
            <w:vAlign w:val="bottom"/>
            <w:tcBorders>
              <w:bottom w:val="single" w:sz="8" w:color="EAEAEA"/>
            </w:tcBorders>
            <w:gridSpan w:val="3"/>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gridSpan w:val="3"/>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677,000</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100,000 to 110,000 barrels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600" w:type="dxa"/>
            <w:vAlign w:val="bottom"/>
            <w:gridSpan w:val="9"/>
          </w:tcPr>
          <w:p>
            <w:pPr>
              <w:jc w:val="right"/>
              <w:ind w:right="20"/>
              <w:spacing w:after="0"/>
              <w:rPr>
                <w:sz w:val="20"/>
                <w:szCs w:val="20"/>
                <w:color w:val="auto"/>
              </w:rPr>
            </w:pPr>
            <w:r>
              <w:rPr>
                <w:rFonts w:ascii="Times New Roman" w:cs="Times New Roman" w:eastAsia="Times New Roman" w:hAnsi="Times New Roman"/>
                <w:sz w:val="20"/>
                <w:szCs w:val="20"/>
                <w:color w:val="auto"/>
              </w:rPr>
              <w:t>630,000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80" w:type="dxa"/>
            <w:vAlign w:val="bottom"/>
            <w:tcBorders>
              <w:bottom w:val="single" w:sz="8" w:color="EAEAEA"/>
            </w:tcBorders>
            <w:gridSpan w:val="2"/>
            <w:shd w:val="clear" w:color="auto" w:fill="EAEAEA"/>
          </w:tcPr>
          <w:p>
            <w:pPr>
              <w:ind w:left="22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120,000 to 150,000 barrels</w:t>
            </w:r>
          </w:p>
        </w:tc>
        <w:tc>
          <w:tcPr>
            <w:tcW w:w="1380" w:type="dxa"/>
            <w:vAlign w:val="bottom"/>
            <w:tcBorders>
              <w:bottom w:val="single" w:sz="8" w:color="EAEAEA"/>
            </w:tcBorders>
            <w:gridSpan w:val="2"/>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3</w:t>
            </w:r>
          </w:p>
        </w:tc>
        <w:tc>
          <w:tcPr>
            <w:tcW w:w="1220" w:type="dxa"/>
            <w:vAlign w:val="bottom"/>
            <w:tcBorders>
              <w:bottom w:val="single" w:sz="8" w:color="EAEAEA"/>
            </w:tcBorders>
            <w:gridSpan w:val="3"/>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1"/>
                <w:shd w:val="clear" w:color="auto" w:fill="EAEAEA"/>
              </w:rPr>
              <w:t>24.0</w:t>
            </w:r>
          </w:p>
        </w:tc>
        <w:tc>
          <w:tcPr>
            <w:tcW w:w="620" w:type="dxa"/>
            <w:vAlign w:val="bottom"/>
            <w:tcBorders>
              <w:bottom w:val="single" w:sz="8" w:color="EAEAEA"/>
            </w:tcBorders>
            <w:gridSpan w:val="3"/>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gridSpan w:val="3"/>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416,000</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6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Over 150,000 barrels</w:t>
            </w: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20" w:type="dxa"/>
            <w:vAlign w:val="bottom"/>
            <w:gridSpan w:val="3"/>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08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9"/>
                <w:szCs w:val="19"/>
                <w:color w:val="auto"/>
                <w:w w:val="99"/>
              </w:rPr>
              <w:t>1,046,000</w:t>
            </w: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EAEAEA"/>
            </w:tcBorders>
          </w:tcPr>
          <w:p>
            <w:pPr>
              <w:spacing w:after="0" w:line="20" w:lineRule="exact"/>
              <w:rPr>
                <w:sz w:val="1"/>
                <w:szCs w:val="1"/>
                <w:color w:val="auto"/>
              </w:rPr>
            </w:pPr>
          </w:p>
        </w:tc>
        <w:tc>
          <w:tcPr>
            <w:tcW w:w="478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tcBorders>
              <w:bottom w:val="single" w:sz="8" w:color="EAEAEA"/>
            </w:tcBorders>
            <w:gridSpan w:val="2"/>
            <w:shd w:val="clear" w:color="auto" w:fill="EAEAEA"/>
          </w:tcPr>
          <w:p>
            <w:pPr>
              <w:ind w:left="400"/>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Total coastal tank barges</w:t>
            </w:r>
          </w:p>
        </w:tc>
        <w:tc>
          <w:tcPr>
            <w:tcW w:w="140" w:type="dxa"/>
            <w:vAlign w:val="bottom"/>
            <w:tcBorders>
              <w:bottom w:val="single" w:sz="8" w:color="EAEAEA"/>
            </w:tcBorders>
            <w:shd w:val="clear" w:color="auto" w:fill="EAEAEA"/>
          </w:tcPr>
          <w:p>
            <w:pPr>
              <w:spacing w:after="0"/>
              <w:rPr>
                <w:sz w:val="19"/>
                <w:szCs w:val="19"/>
                <w:color w:val="auto"/>
              </w:rPr>
            </w:pPr>
          </w:p>
        </w:tc>
        <w:tc>
          <w:tcPr>
            <w:tcW w:w="134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28</w:t>
            </w:r>
          </w:p>
        </w:tc>
        <w:tc>
          <w:tcPr>
            <w:tcW w:w="24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gridSpan w:val="2"/>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91"/>
                <w:shd w:val="clear" w:color="auto" w:fill="EAEAEA"/>
              </w:rPr>
              <w:t>19.6</w:t>
            </w:r>
          </w:p>
        </w:tc>
        <w:tc>
          <w:tcPr>
            <w:tcW w:w="26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gridSpan w:val="2"/>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gridSpan w:val="4"/>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2,917,000</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Coastal tugboats (owned and chartered):</w:t>
            </w:r>
          </w:p>
        </w:tc>
        <w:tc>
          <w:tcPr>
            <w:tcW w:w="140" w:type="dxa"/>
            <w:vAlign w:val="bottom"/>
            <w:shd w:val="clear" w:color="auto" w:fill="EAEAEA"/>
          </w:tcPr>
          <w:p>
            <w:pPr>
              <w:spacing w:after="0"/>
              <w:rPr>
                <w:sz w:val="21"/>
                <w:szCs w:val="21"/>
                <w:color w:val="auto"/>
              </w:rPr>
            </w:pPr>
          </w:p>
        </w:tc>
        <w:tc>
          <w:tcPr>
            <w:tcW w:w="124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6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0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3000 to 3900 horsepower</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80" w:type="dxa"/>
            <w:vAlign w:val="bottom"/>
            <w:tcBorders>
              <w:bottom w:val="single" w:sz="8" w:color="EAEAEA"/>
            </w:tcBorders>
            <w:gridSpan w:val="2"/>
            <w:shd w:val="clear" w:color="auto" w:fill="EAEAEA"/>
          </w:tcPr>
          <w:p>
            <w:pPr>
              <w:ind w:left="20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4000 to 4900 horsepower</w:t>
            </w:r>
          </w:p>
        </w:tc>
        <w:tc>
          <w:tcPr>
            <w:tcW w:w="140" w:type="dxa"/>
            <w:vAlign w:val="bottom"/>
            <w:tcBorders>
              <w:bottom w:val="single" w:sz="8" w:color="EAEAEA"/>
            </w:tcBorders>
            <w:shd w:val="clear" w:color="auto" w:fill="EAEAEA"/>
          </w:tcPr>
          <w:p>
            <w:pPr>
              <w:spacing w:after="0"/>
              <w:rPr>
                <w:sz w:val="19"/>
                <w:szCs w:val="19"/>
                <w:color w:val="auto"/>
              </w:rPr>
            </w:pPr>
          </w:p>
        </w:tc>
        <w:tc>
          <w:tcPr>
            <w:tcW w:w="12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6</w:t>
            </w:r>
          </w:p>
        </w:tc>
        <w:tc>
          <w:tcPr>
            <w:tcW w:w="1220" w:type="dxa"/>
            <w:vAlign w:val="bottom"/>
            <w:tcBorders>
              <w:bottom w:val="single" w:sz="8" w:color="EAEAEA"/>
            </w:tcBorders>
            <w:gridSpan w:val="3"/>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1"/>
                <w:shd w:val="clear" w:color="auto" w:fill="EAEAEA"/>
              </w:rPr>
              <w:t>17.2</w:t>
            </w:r>
          </w:p>
        </w:tc>
        <w:tc>
          <w:tcPr>
            <w:tcW w:w="26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5000 to 6900 horsepower</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EAEAEA"/>
            </w:tcBorders>
            <w:gridSpan w:val="2"/>
            <w:shd w:val="clear" w:color="auto" w:fill="EAEAEA"/>
          </w:tcPr>
          <w:p>
            <w:pPr>
              <w:ind w:left="20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Greater than 7000 horsepower</w:t>
            </w:r>
          </w:p>
        </w:tc>
        <w:tc>
          <w:tcPr>
            <w:tcW w:w="140" w:type="dxa"/>
            <w:vAlign w:val="bottom"/>
            <w:tcBorders>
              <w:bottom w:val="single" w:sz="8" w:color="EAEAEA"/>
            </w:tcBorders>
            <w:shd w:val="clear" w:color="auto" w:fill="EAEAEA"/>
          </w:tcPr>
          <w:p>
            <w:pPr>
              <w:spacing w:after="0"/>
              <w:rPr>
                <w:sz w:val="21"/>
                <w:szCs w:val="21"/>
                <w:color w:val="auto"/>
              </w:rPr>
            </w:pPr>
          </w:p>
        </w:tc>
        <w:tc>
          <w:tcPr>
            <w:tcW w:w="124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6</w:t>
            </w:r>
          </w:p>
        </w:tc>
        <w:tc>
          <w:tcPr>
            <w:tcW w:w="1220" w:type="dxa"/>
            <w:vAlign w:val="bottom"/>
            <w:tcBorders>
              <w:bottom w:val="single" w:sz="8" w:color="EAEAEA"/>
            </w:tcBorders>
            <w:gridSpan w:val="3"/>
            <w:shd w:val="clear" w:color="auto" w:fill="EAEAEA"/>
          </w:tcPr>
          <w:p>
            <w:pPr>
              <w:spacing w:after="0"/>
              <w:rPr>
                <w:sz w:val="21"/>
                <w:szCs w:val="21"/>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1"/>
                <w:shd w:val="clear" w:color="auto" w:fill="EAEAEA"/>
              </w:rPr>
              <w:t>15.5</w:t>
            </w:r>
          </w:p>
        </w:tc>
        <w:tc>
          <w:tcPr>
            <w:tcW w:w="26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40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coastal tugboats</w:t>
            </w:r>
          </w:p>
        </w:tc>
        <w:tc>
          <w:tcPr>
            <w:tcW w:w="140" w:type="dxa"/>
            <w:vAlign w:val="bottom"/>
          </w:tcPr>
          <w:p>
            <w:pPr>
              <w:spacing w:after="0"/>
              <w:rPr>
                <w:sz w:val="20"/>
                <w:szCs w:val="20"/>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40" w:type="dxa"/>
            <w:vAlign w:val="bottom"/>
          </w:tcPr>
          <w:p>
            <w:pPr>
              <w:spacing w:after="0"/>
              <w:rPr>
                <w:sz w:val="20"/>
                <w:szCs w:val="20"/>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Deadweight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3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gridSpan w:val="3"/>
          </w:tcPr>
          <w:p>
            <w:pPr>
              <w:spacing w:after="0"/>
              <w:rPr>
                <w:sz w:val="2"/>
                <w:szCs w:val="2"/>
                <w:color w:val="auto"/>
              </w:rPr>
            </w:pPr>
          </w:p>
        </w:tc>
        <w:tc>
          <w:tcPr>
            <w:tcW w:w="400" w:type="dxa"/>
            <w:vAlign w:val="bottom"/>
            <w:gridSpan w:val="3"/>
            <w:vMerge w:val="restart"/>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300" w:type="dxa"/>
            <w:vAlign w:val="bottom"/>
            <w:tcBorders>
              <w:bottom w:val="single" w:sz="8" w:color="EAEAEA"/>
            </w:tcBorders>
          </w:tcPr>
          <w:p>
            <w:pPr>
              <w:spacing w:after="0"/>
              <w:rPr>
                <w:sz w:val="12"/>
                <w:szCs w:val="12"/>
                <w:color w:val="auto"/>
              </w:rPr>
            </w:pPr>
          </w:p>
        </w:tc>
        <w:tc>
          <w:tcPr>
            <w:tcW w:w="478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tcPr>
          <w:p>
            <w:pPr>
              <w:spacing w:after="0"/>
              <w:rPr>
                <w:sz w:val="12"/>
                <w:szCs w:val="12"/>
                <w:color w:val="auto"/>
              </w:rPr>
            </w:pPr>
          </w:p>
        </w:tc>
        <w:tc>
          <w:tcPr>
            <w:tcW w:w="1240" w:type="dxa"/>
            <w:vAlign w:val="bottom"/>
            <w:tcBorders>
              <w:bottom w:val="single" w:sz="8" w:color="EAEAEA"/>
            </w:tcBorders>
          </w:tcPr>
          <w:p>
            <w:pPr>
              <w:spacing w:after="0"/>
              <w:rPr>
                <w:sz w:val="12"/>
                <w:szCs w:val="12"/>
                <w:color w:val="auto"/>
              </w:rPr>
            </w:pPr>
          </w:p>
        </w:tc>
        <w:tc>
          <w:tcPr>
            <w:tcW w:w="100" w:type="dxa"/>
            <w:vAlign w:val="bottom"/>
            <w:tcBorders>
              <w:bottom w:val="single" w:sz="8" w:color="EAEAEA"/>
            </w:tcBorders>
          </w:tcPr>
          <w:p>
            <w:pPr>
              <w:spacing w:after="0"/>
              <w:rPr>
                <w:sz w:val="12"/>
                <w:szCs w:val="12"/>
                <w:color w:val="auto"/>
              </w:rPr>
            </w:pPr>
          </w:p>
        </w:tc>
        <w:tc>
          <w:tcPr>
            <w:tcW w:w="240" w:type="dxa"/>
            <w:vAlign w:val="bottom"/>
            <w:tcBorders>
              <w:bottom w:val="single" w:sz="8" w:color="EAEAEA"/>
            </w:tcBorders>
          </w:tcPr>
          <w:p>
            <w:pPr>
              <w:spacing w:after="0"/>
              <w:rPr>
                <w:sz w:val="12"/>
                <w:szCs w:val="12"/>
                <w:color w:val="auto"/>
              </w:rPr>
            </w:pPr>
          </w:p>
        </w:tc>
        <w:tc>
          <w:tcPr>
            <w:tcW w:w="36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360" w:type="dxa"/>
            <w:vAlign w:val="bottom"/>
            <w:tcBorders>
              <w:bottom w:val="single" w:sz="8" w:color="EAEAEA"/>
            </w:tcBorders>
          </w:tcPr>
          <w:p>
            <w:pPr>
              <w:spacing w:after="0"/>
              <w:rPr>
                <w:sz w:val="12"/>
                <w:szCs w:val="12"/>
                <w:color w:val="auto"/>
              </w:rPr>
            </w:pPr>
          </w:p>
        </w:tc>
        <w:tc>
          <w:tcPr>
            <w:tcW w:w="260" w:type="dxa"/>
            <w:vAlign w:val="bottom"/>
            <w:tcBorders>
              <w:bottom w:val="single" w:sz="8" w:color="EAEAEA"/>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gridSpan w:val="3"/>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highlight w:val="white"/>
                <w:w w:val="97"/>
              </w:rPr>
              <w:t>Tonnage</w:t>
            </w:r>
          </w:p>
        </w:tc>
        <w:tc>
          <w:tcPr>
            <w:tcW w:w="400" w:type="dxa"/>
            <w:vAlign w:val="bottom"/>
            <w:tcBorders>
              <w:bottom w:val="single" w:sz="8" w:color="auto"/>
            </w:tcBorders>
            <w:gridSpan w:val="3"/>
            <w:vMerge w:val="continue"/>
          </w:tcPr>
          <w:p>
            <w:pPr>
              <w:spacing w:after="0"/>
              <w:rPr>
                <w:sz w:val="12"/>
                <w:szCs w:val="12"/>
                <w:color w:val="auto"/>
              </w:rPr>
            </w:pPr>
          </w:p>
        </w:tc>
        <w:tc>
          <w:tcPr>
            <w:tcW w:w="60" w:type="dxa"/>
            <w:vAlign w:val="bottom"/>
            <w:tcBorders>
              <w:bottom w:val="single" w:sz="8" w:color="EAEAEA"/>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6080" w:type="dxa"/>
            <w:vAlign w:val="bottom"/>
            <w:tcBorders>
              <w:bottom w:val="single" w:sz="8" w:color="EAEAEA"/>
            </w:tcBorders>
            <w:gridSpan w:val="2"/>
            <w:shd w:val="clear" w:color="auto" w:fill="EAEAEA"/>
          </w:tcPr>
          <w:p>
            <w:pPr>
              <w:ind w:left="400"/>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Offshore dry-bulk cargo barges (owned)</w:t>
            </w:r>
          </w:p>
        </w:tc>
        <w:tc>
          <w:tcPr>
            <w:tcW w:w="1380" w:type="dxa"/>
            <w:vAlign w:val="bottom"/>
            <w:tcBorders>
              <w:bottom w:val="single" w:sz="8" w:color="EAEAEA"/>
            </w:tcBorders>
            <w:gridSpan w:val="2"/>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2</w:t>
            </w:r>
          </w:p>
        </w:tc>
        <w:tc>
          <w:tcPr>
            <w:tcW w:w="1220" w:type="dxa"/>
            <w:vAlign w:val="bottom"/>
            <w:tcBorders>
              <w:bottom w:val="single" w:sz="8" w:color="EAEAEA"/>
            </w:tcBorders>
            <w:gridSpan w:val="3"/>
            <w:shd w:val="clear" w:color="auto" w:fill="EAEAEA"/>
          </w:tcPr>
          <w:p>
            <w:pPr>
              <w:spacing w:after="0"/>
              <w:rPr>
                <w:sz w:val="20"/>
                <w:szCs w:val="20"/>
                <w:color w:val="auto"/>
              </w:rPr>
            </w:pPr>
          </w:p>
        </w:tc>
        <w:tc>
          <w:tcPr>
            <w:tcW w:w="36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1"/>
                <w:shd w:val="clear" w:color="auto" w:fill="EAEAEA"/>
              </w:rPr>
              <w:t>12.3</w:t>
            </w:r>
          </w:p>
        </w:tc>
        <w:tc>
          <w:tcPr>
            <w:tcW w:w="260" w:type="dxa"/>
            <w:vAlign w:val="bottom"/>
            <w:tcBorders>
              <w:bottom w:val="single" w:sz="8" w:color="EAEAEA"/>
            </w:tcBorders>
            <w:shd w:val="clear" w:color="auto" w:fill="EAEAEA"/>
          </w:tcPr>
          <w:p>
            <w:pPr>
              <w:spacing w:after="0"/>
              <w:rPr>
                <w:sz w:val="20"/>
                <w:szCs w:val="20"/>
                <w:color w:val="auto"/>
              </w:rPr>
            </w:pPr>
          </w:p>
        </w:tc>
        <w:tc>
          <w:tcPr>
            <w:tcW w:w="540" w:type="dxa"/>
            <w:vAlign w:val="bottom"/>
            <w:tcBorders>
              <w:bottom w:val="single" w:sz="8" w:color="EAEAEA"/>
            </w:tcBorders>
            <w:gridSpan w:val="4"/>
            <w:shd w:val="clear" w:color="auto" w:fill="EAEAEA"/>
          </w:tcPr>
          <w:p>
            <w:pPr>
              <w:spacing w:after="0"/>
              <w:rPr>
                <w:sz w:val="20"/>
                <w:szCs w:val="20"/>
                <w:color w:val="auto"/>
              </w:rPr>
            </w:pPr>
          </w:p>
        </w:tc>
        <w:tc>
          <w:tcPr>
            <w:tcW w:w="780" w:type="dxa"/>
            <w:vAlign w:val="bottom"/>
            <w:tcBorders>
              <w:bottom w:val="single" w:sz="8" w:color="EAEAEA"/>
            </w:tcBorders>
            <w:gridSpan w:val="3"/>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37,000</w:t>
            </w:r>
          </w:p>
        </w:tc>
        <w:tc>
          <w:tcPr>
            <w:tcW w:w="2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EAEAEA"/>
            </w:tcBorders>
            <w:gridSpan w:val="2"/>
            <w:shd w:val="clear" w:color="auto" w:fill="EAEAEA"/>
          </w:tcPr>
          <w:p>
            <w:pPr>
              <w:ind w:left="40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Offshore tugboats and docking tugboat (owned)</w:t>
            </w:r>
          </w:p>
        </w:tc>
        <w:tc>
          <w:tcPr>
            <w:tcW w:w="1380" w:type="dxa"/>
            <w:vAlign w:val="bottom"/>
            <w:tcBorders>
              <w:bottom w:val="single" w:sz="8" w:color="EAEAEA"/>
            </w:tcBorders>
            <w:gridSpan w:val="2"/>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3</w:t>
            </w:r>
          </w:p>
        </w:tc>
        <w:tc>
          <w:tcPr>
            <w:tcW w:w="1220" w:type="dxa"/>
            <w:vAlign w:val="bottom"/>
            <w:tcBorders>
              <w:bottom w:val="single" w:sz="8" w:color="EAEAEA"/>
            </w:tcBorders>
            <w:gridSpan w:val="3"/>
            <w:shd w:val="clear" w:color="auto" w:fill="EAEAEA"/>
          </w:tcPr>
          <w:p>
            <w:pPr>
              <w:spacing w:after="0"/>
              <w:rPr>
                <w:sz w:val="21"/>
                <w:szCs w:val="21"/>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1"/>
                <w:shd w:val="clear" w:color="auto" w:fill="EAEAEA"/>
              </w:rPr>
              <w:t>24.1</w:t>
            </w:r>
          </w:p>
        </w:tc>
        <w:tc>
          <w:tcPr>
            <w:tcW w:w="26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40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266 inland towboats, 24 coastal tugboats, two offshore tugboats and one docking tugboat provide the power source and the 1,105 inland tank barges, 28 coastal tank barges and two offshore dry-bulk cargo barges provide the freight capacity for KMT. When</w:t>
      </w:r>
    </w:p>
    <w:p>
      <w:pPr>
        <w:sectPr>
          <w:pgSz w:w="12240" w:h="15840" w:orient="portrait"/>
          <w:cols w:equalWidth="0" w:num="1">
            <w:col w:w="10800"/>
          </w:cols>
          <w:pgMar w:left="720" w:top="929" w:right="720" w:bottom="221"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10800"/>
          </w:cols>
          <w:pgMar w:left="720" w:top="929" w:right="720" w:bottom="221"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color w:val="auto"/>
        </w:rPr>
        <w:t>the power source and freight capacity are combined, the unit is called a tow. The Company’s inland tows generally consist of one</w:t>
      </w:r>
    </w:p>
    <w:p>
      <w:pPr>
        <w:spacing w:after="0" w:line="37"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towboat and from one to up to 25 tank barges, depending upon the horsepower of the towboat, the waterway infrastructure capacit and conditions, and customer requirements. The Company’s coastal and offshore tows primarily consist of one tugboat and one tank barge or dry-bulk cargo barge.</w:t>
      </w:r>
    </w:p>
    <w:p>
      <w:pPr>
        <w:spacing w:after="0" w:line="20" w:lineRule="exact"/>
        <w:rPr>
          <w:sz w:val="20"/>
          <w:szCs w:val="20"/>
          <w:color w:val="auto"/>
        </w:r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Marine Transportation Industry Fundamentals</w:t>
      </w:r>
    </w:p>
    <w:p>
      <w:pPr>
        <w:spacing w:after="0" w:line="20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one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16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whereas black oil, including crude oil and natural gas condensate, is distributed regionally from refineries and terminals along the United States coast to refineries, power plants and distribution terminals.</w:t>
      </w:r>
    </w:p>
    <w:p>
      <w:pPr>
        <w:spacing w:after="0" w:line="162"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Based on cost, safety, and level of emissions, barge transportation is often the most efficient and safest means of surface transportation of bulk commodities when compared to railroads and trucks. The cargo capacity of a 27,500 barrel inland tank barge is the equivalent of 46 railroad tank cars or 144 tractor-trailer tank trucks. A typical Company lower Mississippi River linehaul tow of 15</w:t>
      </w:r>
    </w:p>
    <w:p>
      <w:pPr>
        <w:jc w:val="both"/>
        <w:ind w:hanging="1"/>
        <w:spacing w:after="0" w:line="242" w:lineRule="auto"/>
        <w:rPr>
          <w:sz w:val="20"/>
          <w:szCs w:val="20"/>
          <w:color w:val="auto"/>
        </w:rPr>
      </w:pPr>
      <w:r>
        <w:rPr>
          <w:rFonts w:ascii="Times New Roman" w:cs="Times New Roman" w:eastAsia="Times New Roman" w:hAnsi="Times New Roman"/>
          <w:sz w:val="20"/>
          <w:szCs w:val="20"/>
          <w:color w:val="auto"/>
        </w:rPr>
        <w:t>barges has the carrying capacity of approximately 216 railroad tank cars plus six locomotives, or approximately 1,050 tractor-trailer tank trucks. The Company’s inland tank barge fleet capacity of 24.5 million barrels equates to approximately 41,000 railroad tank cars or approximately 128,000 tractor-trailer tank trucks. Furthermore, barging is much more energy efficient when compared to other modes of transportation. One ton of bulk product can be carried 675 miles by inland barge on one gallon of fuel on a typical tow</w:t>
      </w:r>
    </w:p>
    <w:p>
      <w:pPr>
        <w:spacing w:after="0" w:line="20" w:lineRule="exact"/>
        <w:rPr>
          <w:sz w:val="20"/>
          <w:szCs w:val="20"/>
          <w:color w:val="auto"/>
        </w:rPr>
      </w:pPr>
    </w:p>
    <w:p>
      <w:pPr>
        <w:jc w:val="both"/>
        <w:ind w:firstLine="7"/>
        <w:spacing w:after="0" w:line="230" w:lineRule="auto"/>
        <w:rPr>
          <w:sz w:val="20"/>
          <w:szCs w:val="20"/>
          <w:color w:val="auto"/>
        </w:rPr>
      </w:pPr>
      <w:r>
        <w:rPr>
          <w:rFonts w:ascii="Times New Roman" w:cs="Times New Roman" w:eastAsia="Times New Roman" w:hAnsi="Times New Roman"/>
          <w:sz w:val="20"/>
          <w:szCs w:val="20"/>
          <w:color w:val="auto"/>
        </w:rPr>
        <w:t>compared to 472 miles by railcar or 151 miles by truck for typical transits. From an emissions perspective, transport by rail and tractor-trailer tank trucks emit approximately 40% and 800%, respectively, more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20"/>
          <w:szCs w:val="20"/>
          <w:color w:val="auto"/>
        </w:rPr>
        <w:t xml:space="preserve"> per ton mile of cargo transported than by inland tank barge. In the coastal trade, the carrying capacity of a 100,000 barrel tank barge is the equivalent of approximately 165 railroad tank cars or approximately 525 tractor-trailer tank trucks. The Company’s coastal tank barge fleet capacity of 2.9 million barrel equates to approximately 4,800 railroad tank cars or approximately 15,300 tractor-trailer tank trucks. Marine transportation generally involves less urban exposure than railroad or truck transportation and operates on a system with fewer crossing junctures and often in areas relatively remote from population centers. These factors generally help to reduce the number of waterway incidents.</w:t>
      </w:r>
    </w:p>
    <w:p>
      <w:pPr>
        <w:spacing w:after="0" w:line="20" w:lineRule="exact"/>
        <w:rPr>
          <w:sz w:val="20"/>
          <w:szCs w:val="20"/>
          <w:color w:val="auto"/>
        </w:r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Inland Tank Barge Industry</w:t>
      </w:r>
    </w:p>
    <w:p>
      <w:pPr>
        <w:spacing w:after="0" w:line="20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 operates within the United States inland tank barge industry, a diverse and independent mixture of approximately 25 large integrated transportation companies and small operators, as well as captive fleets owned by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16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number of tank barges that operate on the inland waterways of the United States increased from 2,750 in 2006 to approximately 4,000 by the end of 2019. The increase from 2,750 tank barges in 2006 to approximately 4,000 by the end of 2019 primarily resulted from increased barge construction and deferred retirements due to strong demand and resulting capacity shortages The number of industry tank barges has remained relatively constant from 2019 through the end of 2025. The Company’s 1,105 inland tank barges represent approximately 28% of the industry’s approximately 4,004 inland tank barges.</w:t>
      </w:r>
    </w:p>
    <w:p>
      <w:pPr>
        <w:sectPr>
          <w:pgSz w:w="12240" w:h="15840" w:orient="portrait"/>
          <w:cols w:equalWidth="0" w:num="1">
            <w:col w:w="10800"/>
          </w:cols>
          <w:pgMar w:left="720" w:top="929" w:right="720" w:bottom="222"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10800"/>
          </w:cols>
          <w:pgMar w:left="720" w:top="929" w:right="720" w:bottom="222" w:gutter="0" w:footer="0" w:header="0"/>
          <w:type w:val="continuous"/>
        </w:sectPr>
      </w:pPr>
    </w:p>
    <w:bookmarkStart w:id="18" w:name="page19"/>
    <w:bookmarkEnd w:id="18"/>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 xml:space="preserve">For 2024, the Company estimates that industry-wide 34 new tank barges were placed in service and 38 tank barges were retired. For 2025, the Company estimates that industry-wide 66 new tank barges were placed in service and 65 tank barges were retired. During 2024, the Company’s inland barge utilization remained in the low 90% range as strong activity levels were offset by an increase in delay days as compared to 2023. During 2025, the Company’s inland barge utilization was in the 90% range as </w:t>
      </w:r>
      <w:r>
        <w:rPr>
          <w:rFonts w:ascii="Times New Roman" w:cs="Times New Roman" w:eastAsia="Times New Roman" w:hAnsi="Times New Roman"/>
          <w:sz w:val="19"/>
          <w:szCs w:val="19"/>
          <w:color w:val="auto"/>
        </w:rPr>
        <w:t>lighter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feedstock mix for refinery and chemical customers and fewer barges undergoing maintenance across the industry impacted utilizat ion in the second half of the year</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 Company estimates that approximately 60 to 70 new tank barges have currently been ordered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delivery in 2026. Generally, the risk of an oversupply of tank barges may be mitigated by increased petrochemical, black oil and refined petroleum products volumes from increased production from current facilities, plant expansions, the opening of new facilities, and the fact that the inland tank barge industry has approximately 600 tank barges that are 30 years old or older and approximately 350 of those are 40 years old or older, which could lead to retirement of these older tank barges. The average age of the nation’s inland tank barge fleet is approximately 18 years.</w:t>
      </w:r>
    </w:p>
    <w:p>
      <w:pPr>
        <w:spacing w:after="0" w:line="16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Company’s inland division of KMT also operates shifting and fleeting facilities for dry cargo barges and tank barges on the Houston Ship Channel, in Freeport and Port Arthur, Texas, and Lake Charles, Louisiana, and a shipyard for building inland towboats and providing routine maintenance on marine vessels near the Houston Ship Channel. The Company also owns a two -thirds interest in Osprey Line, L.L.C. (“Osprey”), a transporter of project cargoes and cargo containers by barge on the United States inland waterway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Coastal Tank Barge Industry</w:t>
      </w:r>
    </w:p>
    <w:p>
      <w:pPr>
        <w:spacing w:after="0" w:line="203" w:lineRule="exact"/>
        <w:rPr>
          <w:sz w:val="20"/>
          <w:szCs w:val="20"/>
          <w:color w:val="auto"/>
        </w:rPr>
      </w:pPr>
    </w:p>
    <w:p>
      <w:pPr>
        <w:jc w:val="both"/>
        <w:ind w:firstLine="353"/>
        <w:spacing w:after="0" w:line="255" w:lineRule="auto"/>
        <w:rPr>
          <w:sz w:val="20"/>
          <w:szCs w:val="20"/>
          <w:color w:val="auto"/>
        </w:rPr>
      </w:pPr>
      <w:r>
        <w:rPr>
          <w:rFonts w:ascii="Times New Roman" w:cs="Times New Roman" w:eastAsia="Times New Roman" w:hAnsi="Times New Roman"/>
          <w:sz w:val="20"/>
          <w:szCs w:val="20"/>
          <w:color w:val="auto"/>
        </w:rPr>
        <w:t>The Company also operates in the United States coastal tank barge industry, operating tank barges in the 195,000 barrels or les category. This market is composed of approximately 20 large integrated transportation companies and small operators. The 195,000</w:t>
      </w:r>
    </w:p>
    <w:p>
      <w:pPr>
        <w:jc w:val="both"/>
        <w:ind w:hanging="6"/>
        <w:spacing w:after="0" w:line="244" w:lineRule="auto"/>
        <w:rPr>
          <w:sz w:val="20"/>
          <w:szCs w:val="20"/>
          <w:color w:val="auto"/>
        </w:rPr>
      </w:pPr>
      <w:r>
        <w:rPr>
          <w:rFonts w:ascii="Times New Roman" w:cs="Times New Roman" w:eastAsia="Times New Roman" w:hAnsi="Times New Roman"/>
          <w:sz w:val="20"/>
          <w:szCs w:val="20"/>
          <w:color w:val="auto"/>
        </w:rPr>
        <w:t>barrels or less category coastal tank barge industry primarily provides regional marine transportation distribution of bulk liquid cargoes along the United States’ Atlantic, Gulf and Pacific coasts, in Alaska and Hawaii, and to a lesser extent, on the Great Lakes.</w:t>
      </w:r>
    </w:p>
    <w:p>
      <w:pPr>
        <w:spacing w:after="0" w:line="20" w:lineRule="exact"/>
        <w:rPr>
          <w:sz w:val="20"/>
          <w:szCs w:val="20"/>
          <w:color w:val="auto"/>
        </w:rPr>
      </w:pPr>
    </w:p>
    <w:p>
      <w:pPr>
        <w:jc w:val="both"/>
        <w:ind w:firstLine="3"/>
        <w:spacing w:after="0"/>
        <w:rPr>
          <w:sz w:val="20"/>
          <w:szCs w:val="20"/>
          <w:color w:val="auto"/>
        </w:rPr>
      </w:pPr>
      <w:r>
        <w:rPr>
          <w:rFonts w:ascii="Times New Roman" w:cs="Times New Roman" w:eastAsia="Times New Roman" w:hAnsi="Times New Roman"/>
          <w:sz w:val="20"/>
          <w:szCs w:val="20"/>
          <w:color w:val="auto"/>
        </w:rPr>
        <w:t>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16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number of coastal tank barges that operate in the 195,000 barrels or less category is approximately 260, of which the Company operates 28 or approximately 11%. The average age of the nation’s coastal tank barge fleet is approximately 17 years. The Company is aware of no specialized coastal articulated tank barge and tugboat units (“ATB”) that were delivered in 2025 and no further ATBs currently under construction. The coastal tank barge fleet has approximately 22 tank barges that are over 25 years old industry-wide, which could lead to retirement of these older tank barges.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 in the Tank Barge Industry</w:t>
      </w:r>
    </w:p>
    <w:p>
      <w:pPr>
        <w:spacing w:after="0" w:line="20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tank barge industry is very competitive. Competition in this business is based on price and reliability, with many of the industry’s customers emphasizing enhanced vetting requirements, an increased emphasis on safety, the environment, and high-quality service consistent with the customer’s operational standards. Customers also require that their supplier of tank barge services have the ability to handle a variety of requirements, including distribution capabilities throughout the inland waterway system and coastal markets, high levels of flexibility, and an emphasis on safety, environmental and financial responsibility, as well as appropriate insurance coverage.</w:t>
      </w:r>
    </w:p>
    <w:p>
      <w:pPr>
        <w:spacing w:after="0" w:line="160" w:lineRule="exact"/>
        <w:rPr>
          <w:sz w:val="20"/>
          <w:szCs w:val="20"/>
          <w:color w:val="auto"/>
        </w:rPr>
      </w:pPr>
    </w:p>
    <w:p>
      <w:pPr>
        <w:jc w:val="both"/>
        <w:ind w:firstLine="365"/>
        <w:spacing w:after="0" w:line="249" w:lineRule="auto"/>
        <w:rPr>
          <w:sz w:val="20"/>
          <w:szCs w:val="20"/>
          <w:color w:val="auto"/>
        </w:rPr>
      </w:pPr>
      <w:r>
        <w:rPr>
          <w:rFonts w:ascii="Times New Roman" w:cs="Times New Roman" w:eastAsia="Times New Roman" w:hAnsi="Times New Roman"/>
          <w:sz w:val="20"/>
          <w:szCs w:val="20"/>
          <w:color w:val="auto"/>
        </w:rPr>
        <w:t>In the inland markets, the Company’s direct competitors are primarily noncaptive inland tank barge operators. “Captive” fleets are owned by refining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1,105 tank barges as of December 31, 2025, or approximately 28% of the estimated total number of domestic inland tank barges.</w:t>
      </w:r>
    </w:p>
    <w:p>
      <w:pPr>
        <w:spacing w:after="0" w:line="157" w:lineRule="exact"/>
        <w:rPr>
          <w:sz w:val="20"/>
          <w:szCs w:val="20"/>
          <w:color w:val="auto"/>
        </w:rPr>
      </w:pPr>
    </w:p>
    <w:p>
      <w:pPr>
        <w:jc w:val="both"/>
        <w:ind w:firstLine="365"/>
        <w:spacing w:after="0" w:line="246" w:lineRule="auto"/>
        <w:rPr>
          <w:sz w:val="20"/>
          <w:szCs w:val="20"/>
          <w:color w:val="auto"/>
        </w:rPr>
      </w:pPr>
      <w:r>
        <w:rPr>
          <w:rFonts w:ascii="Times New Roman" w:cs="Times New Roman" w:eastAsia="Times New Roman" w:hAnsi="Times New Roman"/>
          <w:sz w:val="20"/>
          <w:szCs w:val="20"/>
          <w:color w:val="auto"/>
        </w:rPr>
        <w:t>In the coastal markets, the Company’s direct competitors are the operators of United States tank barges in the 195,000 barrels or less category. Coastal tank barges in the 195,000 barrels or less category have the ability to enter the majority of coastal ports. Ocean-going tank barges and United States product tankers in the 300,000 barrels plus category, excluding the fleet of large tankers dedicated to Alaska crude oil transportation, occasionally compete in the 195,000 barrels or less market to move large volumes of refined petroleum products within the Gulf of America with occasional movements from the Gulf Coast to the East Coast, along the West Coast and from Texas and Louisiana to Florida. However, access to United States ports of approximately 45 of these product tank r is limited by terminal size and draft restrictions.</w:t>
      </w:r>
    </w:p>
    <w:p>
      <w:pPr>
        <w:spacing w:after="0" w:line="160" w:lineRule="exact"/>
        <w:rPr>
          <w:sz w:val="20"/>
          <w:szCs w:val="20"/>
          <w:color w:val="auto"/>
        </w:rPr>
      </w:pPr>
    </w:p>
    <w:p>
      <w:pPr>
        <w:jc w:val="both"/>
        <w:ind w:firstLine="363"/>
        <w:spacing w:after="0" w:line="278" w:lineRule="auto"/>
        <w:rPr>
          <w:sz w:val="20"/>
          <w:szCs w:val="20"/>
          <w:color w:val="auto"/>
        </w:rPr>
      </w:pPr>
      <w:r>
        <w:rPr>
          <w:rFonts w:ascii="Times New Roman" w:cs="Times New Roman" w:eastAsia="Times New Roman" w:hAnsi="Times New Roman"/>
          <w:sz w:val="20"/>
          <w:szCs w:val="20"/>
          <w:color w:val="auto"/>
        </w:rPr>
        <w:t>While the Company competes primarily with other tank barge companies, it also competes with companies who operate refined product and petrochemical pipelines, railroad tank cars, and tractor-trailer tank trucks. As noted above, the Company believes that</w:t>
      </w:r>
    </w:p>
    <w:p>
      <w:pPr>
        <w:sectPr>
          <w:pgSz w:w="12240" w:h="15840" w:orient="portrait"/>
          <w:cols w:equalWidth="0" w:num="1">
            <w:col w:w="10800"/>
          </w:cols>
          <w:pgMar w:left="720" w:top="929" w:right="720" w:bottom="221"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10800"/>
          </w:cols>
          <w:pgMar w:left="720" w:top="929" w:right="720" w:bottom="221" w:gutter="0" w:footer="0" w:header="0"/>
          <w:type w:val="continuous"/>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20"/>
          <w:szCs w:val="20"/>
          <w:color w:val="auto"/>
        </w:rPr>
        <w:t>both inland and coastal marine transportation of bulk liquid products enjoy a substantial cost advantage over railroad and truck transportation on a barrel per mile basis.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Transported</w:t>
      </w:r>
    </w:p>
    <w:p>
      <w:pPr>
        <w:spacing w:after="0" w:line="20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transports petrochemicals, black oil, refined petroleum products, and agricultural chemicals by tank barge throughout the Mississippi River System, on the Gulf Intracoastal Waterway, and coastwise along all three United States coasts. During 2025, the Company’s inland marine transportation operation moved over 55 million tons of liquid cargo on the United States inland waterway system.</w:t>
      </w:r>
    </w:p>
    <w:p>
      <w:pPr>
        <w:spacing w:after="0" w:line="15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Petrochemicals </w:t>
      </w:r>
      <w:r>
        <w:rPr>
          <w:rFonts w:ascii="Times New Roman" w:cs="Times New Roman" w:eastAsia="Times New Roman" w:hAnsi="Times New Roman"/>
          <w:sz w:val="20"/>
          <w:szCs w:val="20"/>
          <w:color w:val="auto"/>
        </w:rPr>
        <w:t>Bulk liquid petrochemicals transported include such products as benzene, styrene, methanol, acrylonitrile,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xylene, naphtha and caustic soda. These products are consumed in the production of paper, fiber and plastics. Pressurized produ cts, including butadiene, isobutane, propylene, butane and propane, all requiring pressurized conditions to remain in stable liquid form, are transported in pressure barges. The transportation of petrochemical products represented 48% of the segment’s 2025 revenues. Customers shipping these products are petrochemical and refining companies.</w:t>
      </w:r>
    </w:p>
    <w:p>
      <w:pPr>
        <w:spacing w:after="0" w:line="15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Black Oil. </w:t>
      </w:r>
      <w:r>
        <w:rPr>
          <w:rFonts w:ascii="Times New Roman" w:cs="Times New Roman" w:eastAsia="Times New Roman" w:hAnsi="Times New Roman"/>
          <w:sz w:val="20"/>
          <w:szCs w:val="20"/>
          <w:color w:val="auto"/>
        </w:rPr>
        <w:t>Black oil transported includes such products as residual fuel oil, No. 6 fuel oil, coker feedstock, vacuum gas oil,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asphalt, carbon black feedstock, crude oil, natural gas condensate and ship bunkers (engine fuel). Such products represented 26% of</w:t>
      </w:r>
    </w:p>
    <w:p>
      <w:pPr>
        <w:spacing w:after="0" w:line="1"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the segment’s 2025 revenues. Black oil customers are refining companies, marketers, and end users that require the transportation of black oil between refineries and storage terminals, to other refineries and to power plants. Ship bunker customers are oil companies and oil traders in the bunkering business.</w:t>
      </w:r>
    </w:p>
    <w:p>
      <w:pPr>
        <w:spacing w:after="0" w:line="16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Refined Petroleum Products. </w:t>
      </w:r>
      <w:r>
        <w:rPr>
          <w:rFonts w:ascii="Times New Roman" w:cs="Times New Roman" w:eastAsia="Times New Roman" w:hAnsi="Times New Roman"/>
          <w:sz w:val="20"/>
          <w:szCs w:val="20"/>
          <w:color w:val="auto"/>
        </w:rPr>
        <w:t>Refined petroleum products transported include the various blends of finished gasoline, gasoline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blendstocks, jet fuel, No. 2 oil, heating oil and diesel fuel, and represented 23% of the segment’s 2025 revenues. The Company al classifies ethanol in the refined petroleum products category. Customers are oil and refining companies, marketers and ethanol producers.</w:t>
      </w:r>
    </w:p>
    <w:p>
      <w:pPr>
        <w:spacing w:after="0" w:line="154" w:lineRule="exact"/>
        <w:rPr>
          <w:sz w:val="20"/>
          <w:szCs w:val="20"/>
          <w:color w:val="auto"/>
        </w:rPr>
      </w:pPr>
    </w:p>
    <w:p>
      <w:pPr>
        <w:jc w:val="both"/>
        <w:ind w:firstLine="353"/>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Agricultural Chemicals. </w:t>
      </w:r>
      <w:r>
        <w:rPr>
          <w:rFonts w:ascii="Times New Roman" w:cs="Times New Roman" w:eastAsia="Times New Roman" w:hAnsi="Times New Roman"/>
          <w:sz w:val="20"/>
          <w:szCs w:val="20"/>
          <w:color w:val="auto"/>
        </w:rPr>
        <w:t>Agricultural chemicals transported represented 3% of the segment’s 2025 revenues. Agricultural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chemicals include anhydrous ammonia and nitrogen-based liquid fertilizer, as well as industrial ammonia. Agricultural chemical customers consist mainly of domestic and foreign producers of such products.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Demand Drivers in the Tank Barge Industry</w:t>
      </w:r>
    </w:p>
    <w:p>
      <w:pPr>
        <w:spacing w:after="0" w:line="20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Demand for tank barge transportation services is driven by the production volumes of the bulk liquid commodities.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black oil markets as needed.</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Petrochemical products are used in both consumer non-durable and durable goods. Bulk petrochemical volumes have historically</w:t>
      </w:r>
    </w:p>
    <w:p>
      <w:pPr>
        <w:spacing w:after="0" w:line="37" w:lineRule="exact"/>
        <w:rPr>
          <w:sz w:val="20"/>
          <w:szCs w:val="20"/>
          <w:color w:val="auto"/>
        </w:rPr>
      </w:pPr>
    </w:p>
    <w:p>
      <w:pPr>
        <w:ind w:firstLine="2"/>
        <w:spacing w:after="0" w:line="238" w:lineRule="auto"/>
        <w:rPr>
          <w:sz w:val="20"/>
          <w:szCs w:val="20"/>
          <w:color w:val="auto"/>
        </w:rPr>
      </w:pPr>
      <w:r>
        <w:rPr>
          <w:rFonts w:ascii="Times New Roman" w:cs="Times New Roman" w:eastAsia="Times New Roman" w:hAnsi="Times New Roman"/>
          <w:sz w:val="20"/>
          <w:szCs w:val="20"/>
          <w:color w:val="auto"/>
        </w:rPr>
        <w:t>tracked the general domestic economy and correlate to the United States Gross Domestic Product. During 2023, the Company’s inland barge utilization averaged in the low 90% range as improved activity levels were partially offset by lock closures and several refinery outages. During 2024, the Company’s inland barge utilization remained in the low 90% range as strong activity levels were offset by an increase in delay days as compared to 2023. During 2025, the Company’s inland barge utilization decreased to the high 80% rang as lighter feedstock mix for refinery and chemical customers and fewer barges undergoing maintenance across the industry impacted</w:t>
      </w:r>
    </w:p>
    <w:p>
      <w:pPr>
        <w:spacing w:after="0" w:line="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utilization in the second half of the year. Coastal tank barge utilization for the transportation of petrochemicals averaged in the mid to high 80% range during both 2024 and 2025 due to stable economic conditions.</w:t>
      </w:r>
    </w:p>
    <w:p>
      <w:pPr>
        <w:spacing w:after="0" w:line="15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demand for black oil, including ship bunkers, varies by type of product transported. Demand for transportation of residual oil, a heavy by-product of refining operations, varies with refinery utilization and usage of feedstocks. During 2023 through 2025, the Company continued to transport crude oil and natural gas condensate produced from the Eagle Ford and Permian Basin shale formations in Texas, both along the Gulf Intracoastal Waterway with inland vessels and in the Gulf of America with coastal equipment, and continued to transport Utica crude oil and natural gas condensate downriver from the Mid-Atlantic to the Gulf Coast, albeit, at reduced levels as some of the product was transported by newly constructed pipelines. During both 2023 and 2024, inland black oil tank barge utilization averaged in the high 90% range. During 2025, inland black oil tank barge utilization averaged in the mid-90% range as lighter feedstock mix for refinery customers impacted utilization in the 2025 third quarter. Coastal black oil tank</w:t>
      </w:r>
    </w:p>
    <w:p>
      <w:pPr>
        <w:spacing w:after="0" w:line="7" w:lineRule="exact"/>
        <w:rPr>
          <w:sz w:val="20"/>
          <w:szCs w:val="20"/>
          <w:color w:val="auto"/>
        </w:rPr>
      </w:pPr>
    </w:p>
    <w:p>
      <w:pPr>
        <w:jc w:val="both"/>
        <w:ind w:hanging="1"/>
        <w:spacing w:after="0"/>
        <w:rPr>
          <w:sz w:val="20"/>
          <w:szCs w:val="20"/>
          <w:color w:val="auto"/>
        </w:rPr>
      </w:pPr>
      <w:r>
        <w:rPr>
          <w:rFonts w:ascii="Times New Roman" w:cs="Times New Roman" w:eastAsia="Times New Roman" w:hAnsi="Times New Roman"/>
          <w:sz w:val="20"/>
          <w:szCs w:val="20"/>
          <w:color w:val="auto"/>
        </w:rPr>
        <w:t>barge utilization averaged in the high 90% range in both 2024 and 2025 as utilization was supported by a high percentage of term contracts. Inland and coastal asphalt shipments are generally seasonal, with higher volumes shipped during April through November months when weather allows for efficient road construction.</w:t>
      </w:r>
    </w:p>
    <w:p>
      <w:pPr>
        <w:spacing w:after="0" w:line="20" w:lineRule="exact"/>
        <w:rPr>
          <w:sz w:val="20"/>
          <w:szCs w:val="20"/>
          <w:color w:val="auto"/>
        </w:rPr>
      </w:pPr>
    </w:p>
    <w:p>
      <w:pPr>
        <w:sectPr>
          <w:pgSz w:w="12240" w:h="15840" w:orient="portrait"/>
          <w:cols w:equalWidth="0" w:num="1">
            <w:col w:w="10800"/>
          </w:cols>
          <w:pgMar w:left="720" w:top="929" w:right="720" w:bottom="222"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10800"/>
          </w:cols>
          <w:pgMar w:left="720" w:top="929" w:right="720" w:bottom="222" w:gutter="0" w:footer="0" w:header="0"/>
          <w:type w:val="continuous"/>
        </w:sectPr>
      </w:pPr>
    </w:p>
    <w:bookmarkStart w:id="20" w:name="page21"/>
    <w:bookmarkEnd w:id="20"/>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Refined petroleum product volumes are driven by United States gasoline and diesel fuel consumption, principally vehicle usage, air travel, and weather conditions. Volumes can also be affected by gasoline inventory imbalances within the United States. Generally, gasoline and No. 2 oil are exported from the Gulf Coast where refining capacity exceeds demand. The Midwest is a net importer of such products. Volumes were also driven by diesel fuel transported to terminals along the Gulf Coast for export to South America Ethanol, produced in the Midwest, is moved from the Midwest to the Gulf Coast. In the coastal trade, tank barges are frequently used regionally to transport refined petroleum products from a coastal refinery or terminals served by pipelines to the end markets. Many coastal areas rely upon access to refined petroleum products by using marine transportation in the distribution chain. During both 2024 and 2025, coastal refined petroleum products tank barge utilization averaged in the high 90% range as activity levels remained stable.</w:t>
      </w:r>
    </w:p>
    <w:p>
      <w:pPr>
        <w:spacing w:after="0" w:line="16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Marine Transportation Operations</w:t>
      </w:r>
    </w:p>
    <w:p>
      <w:pPr>
        <w:spacing w:after="0" w:line="20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KMT operated a fleet of 1,105 inland tank barges and an average of 266 inland towboats during the 2025 fourth quarter, as well as 28 coastal tank barges and 24 coastal tugboats. The segment also operated two offshore dry-bulk cargo barges, two offshore tugboats and one docking tugboat transporting dry-bulk commodities in United States coastal trade.</w:t>
      </w:r>
    </w:p>
    <w:p>
      <w:pPr>
        <w:spacing w:after="0" w:line="14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Inland Operations. </w:t>
      </w:r>
      <w:r>
        <w:rPr>
          <w:rFonts w:ascii="Times New Roman" w:cs="Times New Roman" w:eastAsia="Times New Roman" w:hAnsi="Times New Roman"/>
          <w:sz w:val="20"/>
          <w:szCs w:val="20"/>
          <w:color w:val="auto"/>
        </w:rPr>
        <w:t>The segment’s inland operations are conducted through a wholly owned subsidiary, Kirby Inland Marine, LP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(“Kirby Inland Marine”). Kirby Inland Marine’s operations consist of the Canal, Linehaul and River fleets, as well as barge fleeting services.</w:t>
      </w:r>
    </w:p>
    <w:p>
      <w:pPr>
        <w:spacing w:after="0" w:line="145" w:lineRule="exact"/>
        <w:rPr>
          <w:sz w:val="20"/>
          <w:szCs w:val="20"/>
          <w:color w:val="auto"/>
        </w:rPr>
      </w:pPr>
    </w:p>
    <w:p>
      <w:pPr>
        <w:ind w:firstLine="366"/>
        <w:spacing w:after="0" w:line="247" w:lineRule="auto"/>
        <w:rPr>
          <w:sz w:val="20"/>
          <w:szCs w:val="20"/>
          <w:color w:val="auto"/>
        </w:rPr>
      </w:pPr>
      <w:r>
        <w:rPr>
          <w:rFonts w:ascii="Times New Roman" w:cs="Times New Roman" w:eastAsia="Times New Roman" w:hAnsi="Times New Roman"/>
          <w:sz w:val="20"/>
          <w:szCs w:val="20"/>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20" w:lineRule="exact"/>
        <w:rPr>
          <w:sz w:val="20"/>
          <w:szCs w:val="20"/>
          <w:color w:val="auto"/>
        </w:rPr>
      </w:pPr>
    </w:p>
    <w:p>
      <w:pPr>
        <w:spacing w:after="0" w:line="1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Louisiana to waterfront terminals and plants on the Mississippi, Illinois and Ohio Rivers, and along the Gulf Intracoastal Waterway, on regularly scheduled linehaul tows. Tank bar es are dropped off and picked up going up and down river.</w:t>
      </w:r>
    </w:p>
    <w:p>
      <w:pPr>
        <w:spacing w:after="0" w:line="15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15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inland transportation of petrochemical feedstocks, chemicals and pressurized products is generally consistent throughout th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 asons</w:t>
      </w:r>
    </w:p>
    <w:p>
      <w:pPr>
        <w:spacing w:after="0" w:line="15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marine transportation inland operation moves and handles a broad range of sophisticated cargoes. To meet the specific requirements of the cargoes transported, the inland tank barges may be equipped with self-contained heating systems, high-capacity pumps, pressurized tanks, refrigeration units, stainless steel tanks, aluminum tanks or specialty coated tanks. Of the 1,105 inland tank</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barges currently operated, 851 are petrochemical and refined petroleum products barges, 157 are black oil barges, 87 are pressur barges and 10 are refrigerated anhydrous ammonia barges. Of the 1,105 inland tank barges, 1,073 are owned by the Company and 32 are leased.</w:t>
      </w:r>
    </w:p>
    <w:p>
      <w:pPr>
        <w:spacing w:after="0" w:line="20" w:lineRule="exact"/>
        <w:rPr>
          <w:sz w:val="20"/>
          <w:szCs w:val="20"/>
          <w:color w:val="auto"/>
        </w:rPr>
      </w:pPr>
    </w:p>
    <w:p>
      <w:pPr>
        <w:spacing w:after="0" w:line="14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fleet of 266 inland towboats for the 2025 fourth quarter ranges from 800 to 6,100 horsepower. Of the 266 inland towboats, 200 are owned by the Company and 66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w:t>
      </w:r>
    </w:p>
    <w:p>
      <w:pPr>
        <w:sectPr>
          <w:pgSz w:w="12240" w:h="15840" w:orient="portrait"/>
          <w:cols w:equalWidth="0" w:num="1">
            <w:col w:w="10800"/>
          </w:cols>
          <w:pgMar w:left="720" w:top="930" w:right="720" w:bottom="222"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10800"/>
          </w:cols>
          <w:pgMar w:left="720" w:top="930" w:right="720" w:bottom="222" w:gutter="0" w:footer="0" w:header="0"/>
          <w:type w:val="continuous"/>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20"/>
          <w:szCs w:val="20"/>
          <w:color w:val="auto"/>
        </w:rPr>
        <w:t>System. Towboats above 3,600 horsepower are typically used on the Mississippi River System to move River fleet unit tows and provide Linehaul fleet towing. Based on the capabilities of the individual towboats used in the Mississippi River System, the t w range in size from 10,000 to 30,000 tons.</w:t>
      </w:r>
    </w:p>
    <w:p>
      <w:pPr>
        <w:spacing w:after="0" w:line="14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Marine transportation services for inland movements are conducted under term contracts, which have contract terms of 12 months or longer, or spot contracts, which have contract terms of less than 12 months, with customers with whom the Company has traditionally had long-standing relationships. Typically, term contracts range from one to five years, some of which have renewal options. During 2023, approximately 60% of inland marine transportation revenues were under term contracts and 40% were under spot contracts. During 2024, approximately 65% of inland marine transportation revenues were under term contracts and 35% were under spot contracts. During 2025, approximately 70% of inland marine transportation revenues were under term contracts and 30% were under spot contracts.</w:t>
      </w:r>
    </w:p>
    <w:p>
      <w:pPr>
        <w:spacing w:after="0" w:line="16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All of the Company’s inland tank barges used in the transportation of bulk liquid products are of double hull construction and ar capable of controlling vapor emissions during loading and discharging operations in compliance with occupational safety and health regulations and air quality regulations.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the ability to offer its customers optimized distribution capabilities throughout the Mississippi River System</w:t>
      </w:r>
    </w:p>
    <w:p>
      <w:pPr>
        <w:spacing w:after="0" w:line="37"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and the Gulf Intracoastal Waterway. Such capabilities offer economies of scale from matching tank barges, towboats, products, and destinations efficiently to meet its customers’ requirements.</w:t>
      </w:r>
    </w:p>
    <w:p>
      <w:pPr>
        <w:spacing w:after="0" w:line="20" w:lineRule="exact"/>
        <w:rPr>
          <w:sz w:val="20"/>
          <w:szCs w:val="20"/>
          <w:color w:val="auto"/>
        </w:rPr>
      </w:pPr>
    </w:p>
    <w:p>
      <w:pPr>
        <w:spacing w:after="0" w:line="14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Through the Company’s proprietary vessel management computer system, the Company’s barge and towboat fleet is dispatched from a centralized dispatch group. The towboats are equipped with cellular and satellite positioning and communication systems that automatically transmit the location of the towboat to the Company’s customer service department. Electronic orders are communicated to vessel personnel with reports of towing activities fed back electronically to the customer service department. The electronic interface between the customer service department and the vessel enables matching of customer needs to barge capabilities, thereby promoting efficient utilization of the tank barge and towboat fleet. The Company’s customers are able to access informati n concerning the movement of their cargoes, including barge locations, through the Company’s proprietary electronic customer servic portal.</w:t>
      </w:r>
    </w:p>
    <w:p>
      <w:pPr>
        <w:spacing w:after="0" w:line="16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Kirby Inland Marine operates the largest commercial tank barge fleeting service (barge storage facilities) in the United States operating in numerous ports including Houston, Corpus Christi, Freeport and Orange, Texas; Baton Rouge, Lake Charles and New Orleans, Louisiana; Mobile, Alabama; and Greenville, Mississippi. Included in the fleeting service is a shifting operation and fleeting service for dry cargo barges and tank barges on the Houston Ship Channel, in Freeport and Port Arthur, Texas, and Lake Charles, Louisiana. Kirby Inland Marine provides shifting and fleeting service for its own barges, as well as for customers and third party carriers, transferring barges within the areas noted.</w:t>
      </w:r>
    </w:p>
    <w:p>
      <w:pPr>
        <w:spacing w:after="0" w:line="16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Kirby Inland Marine also provides shore-based barge tankermen to the Company and third parties in the Gulf Coast, mid-Mississippi Valley, and the Ohio River Valley.</w:t>
      </w:r>
    </w:p>
    <w:p>
      <w:pPr>
        <w:spacing w:after="0" w:line="12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San Jac Marine, LLC (“San Jac”), a subsidiary of Kirby Inland Marine, owns and operates a shipyard in Channelview, Texas which builds marine vessels for both inland and coastal applications, and provide maintenance and repair services. Kirby Inland Marine also utilizes San Jac to construct inland towboats and perform routine maintenance and repairs.</w:t>
      </w:r>
    </w:p>
    <w:p>
      <w:pPr>
        <w:spacing w:after="0" w:line="146"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owns a two-thirds interest in Osprey, which transports project cargoes and cargo containers by barge on the United States inland waterway system.</w:t>
      </w:r>
    </w:p>
    <w:p>
      <w:pPr>
        <w:spacing w:after="0" w:line="12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Coastal Operations. </w:t>
      </w:r>
      <w:r>
        <w:rPr>
          <w:rFonts w:ascii="Times New Roman" w:cs="Times New Roman" w:eastAsia="Times New Roman" w:hAnsi="Times New Roman"/>
          <w:sz w:val="20"/>
          <w:szCs w:val="20"/>
          <w:color w:val="auto"/>
        </w:rPr>
        <w:t>The segment’s coastal operations are conducted through wholly owned subsidiaries, Kirby Offshore Marine,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LLC (“Kirby Offshore Marine”) and Kirby Ocean Transport Company (“Kirby Ocean Transport”).</w:t>
      </w:r>
    </w:p>
    <w:p>
      <w:pPr>
        <w:spacing w:after="0" w:line="12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Kirby Offshore Marine provides marine transportation of refined petroleum products, petrochemicals and black oil in coastal regions of the United States. The coastal operations are conducted along the eastern seaboard, western seaboard and the Gulf Coast The Company also operates equipment, to a lesser extent, in the Eastern Canadian Provinces. The tank barges are in the 10,000 t 195,000 barrel capacity range and coastal tugboats in the 3,000 to 10,000 horsepower range. Kirby Offshore Marine’s vessels call n various coastal ports from Maine to Texas, servicing refineries, storage terminals and power plants. The Company also services refineries and storage terminals from Southern California to Washington State.</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coastal transportation of refined petroleum products and black oil is impacted by seasonality and is partially dependent on the</w:t>
      </w:r>
    </w:p>
    <w:p>
      <w:pPr>
        <w:spacing w:after="0" w:line="29" w:lineRule="exact"/>
        <w:rPr>
          <w:sz w:val="20"/>
          <w:szCs w:val="20"/>
          <w:color w:val="auto"/>
        </w:rPr>
      </w:pPr>
    </w:p>
    <w:p>
      <w:pPr>
        <w:jc w:val="both"/>
        <w:ind w:firstLine="5"/>
        <w:spacing w:after="0" w:line="242" w:lineRule="auto"/>
        <w:rPr>
          <w:sz w:val="20"/>
          <w:szCs w:val="20"/>
          <w:color w:val="auto"/>
        </w:rPr>
      </w:pPr>
      <w:r>
        <w:rPr>
          <w:rFonts w:ascii="Times New Roman" w:cs="Times New Roman" w:eastAsia="Times New Roman" w:hAnsi="Times New Roman"/>
          <w:sz w:val="20"/>
          <w:szCs w:val="20"/>
          <w:color w:val="auto"/>
        </w:rPr>
        <w:t>area of operations. Operations along the West Coast of the United States have been subject to more seasonal variations in demand than the operations along the East Coast and Gulf Coast regions of the United States. Movements of refined petroleum products such a various blends of gasoline are strongest during the summer driving season while heating oil generally increases during the wint r months.</w:t>
      </w:r>
    </w:p>
    <w:p>
      <w:pPr>
        <w:spacing w:after="0" w:line="20" w:lineRule="exact"/>
        <w:rPr>
          <w:sz w:val="20"/>
          <w:szCs w:val="20"/>
          <w:color w:val="auto"/>
        </w:rPr>
      </w:pPr>
    </w:p>
    <w:p>
      <w:pPr>
        <w:sectPr>
          <w:pgSz w:w="12240" w:h="15840" w:orient="portrait"/>
          <w:cols w:equalWidth="0" w:num="1">
            <w:col w:w="10800"/>
          </w:cols>
          <w:pgMar w:left="720" w:top="930" w:right="720" w:bottom="187"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10800"/>
          </w:cols>
          <w:pgMar w:left="720" w:top="930" w:right="720" w:bottom="187" w:gutter="0" w:footer="0" w:header="0"/>
          <w:type w:val="continuous"/>
        </w:sectPr>
      </w:pPr>
    </w:p>
    <w:bookmarkStart w:id="22" w:name="page23"/>
    <w:bookmarkEnd w:id="22"/>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coastal fleet consists of 28 tank barges with 2.9 million barrels of capacity, primarily transporting refined petroleum products, black oil and petrochemicals. The Company owns all 28 of the coastal tank barges. Of the 28 coastal tank barges, 20 are refined petroleum products and petrochemical barges and 8 are black oil barges. The Company operates 24 coastal tugboats ranging from 3,000 to 11,000 horsepower, of which 23 are owned by the Company and one is chartered.</w:t>
      </w:r>
    </w:p>
    <w:p>
      <w:pPr>
        <w:spacing w:after="0" w:line="15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Coastal marine transportation services are typically conducted under term contracts, some of which have renewal options, for customers with which the Company has traditionally had long-standing relationships. During 2023, approximately 85% of the coastal</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marine transportation revenues were under term contracts and 15% were under spot contracts. During 2024, approximately 99% of the coastal marine transportation revenues were under term contracts and 1% were under spot contracts. During 2025, all coastal marine transportation revenues were under term contracts.</w:t>
      </w:r>
    </w:p>
    <w:p>
      <w:pPr>
        <w:spacing w:after="0" w:line="20" w:lineRule="exact"/>
        <w:rPr>
          <w:sz w:val="20"/>
          <w:szCs w:val="20"/>
          <w:color w:val="auto"/>
        </w:rPr>
      </w:pP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Kirby Ocean Transport owns and operates a fleet of two offshore dry-bulk barges, two offshore tugboats and one docking tugboat.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Kirby Ocean Transport operates primarily under term contracts of affreightment.</w:t>
      </w:r>
    </w:p>
    <w:p>
      <w:pPr>
        <w:spacing w:after="0" w:line="171"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Kirby Ocean Transport is also engaged in the transportation of coal, fertilizer and other bulk cargoes on a spot basis between domestic ports and occasionally the transportation of grain from domestic ports to ports primarily in the Caribbean Basin.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Contracts and Customers</w:t>
      </w:r>
    </w:p>
    <w:p>
      <w:pPr>
        <w:spacing w:after="0" w:line="20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Marine transportation inland and coastal services are conducted under term or spot contracts for customers with whom the Company has traditionally had long-standing relationships. Typically, term contracts range from one to five years, some of which have renewal options. The majority of the marine transportation contracts with its customers, by revenue, are for terms of one year Most have been customers of KMT for many years and management anticipates continued relationships; however, there is no assurance that any individual contract will be renewed.</w:t>
      </w:r>
    </w:p>
    <w:p>
      <w:pPr>
        <w:spacing w:after="0" w:line="15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enters into agreements with its customers to transport cargo from a designated origin to a designated destination at a set rate (affreightment) or at a daily rate (time charter). The rate may or may not include escalation provisions to recover changes in specific costs such as fuel. Time charter or contracts of affreightment of one year or greater are considered term contract revenues and agreements of less than a year are included in spot contract revenues. Time charters, which help insulate the Company from revenu fluctuations caused by weather and navigational delays and temporary market declines, represented approximately 59% of the marin transportation’s inland revenues under term contracts during 2025, 61% during 2024, and 63% during 2023. Spot contracts typicall involve an agreement with a customer to move cargo from a specific origin to a designated destination for a rate negotiated at the time the cargo movement takes place. Spot contract rates are at the current “market” rate and are subject to market volatility.</w:t>
      </w:r>
    </w:p>
    <w:p>
      <w:pPr>
        <w:spacing w:after="0" w:line="16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typically maintains a higher mix of term contracts to spot contracts to provide the Company with a reasonably predictable revenue stream while maintaining spot market exposure to take advantage of new business opportunities and customers’ peak demands. During 2023, approximately 60% of inland marine transportation revenues were under term contracts and 40% were under spot contracts. During 2024, approximately 65% of inland marine transportation revenues were under term contracts and 35% were under spot contracts. During 2025, approximately 70% of inland marine transportation revenues were under term contracts and 30% were under spot contracts. Coastal time charters represented approximately 90% of the marine transportation’s coastal revenue under term contracts in 2023, approximately 98% in 2024 and approximately 100% in 2025.</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 single customer of KMT accounted for 10% or more of the Company’s revenues in 2025, 2024, or 2023.</w:t>
      </w:r>
    </w:p>
    <w:p>
      <w:pPr>
        <w:sectPr>
          <w:pgSz w:w="12240" w:h="15840" w:orient="portrait"/>
          <w:cols w:equalWidth="0" w:num="1">
            <w:col w:w="10800"/>
          </w:cols>
          <w:pgMar w:left="720" w:top="92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29" w:right="720" w:bottom="175"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auto"/>
        </w:rPr>
        <w:t>DISTRIBUTION AND SERVICES</w:t>
      </w:r>
    </w:p>
    <w:p>
      <w:pPr>
        <w:spacing w:after="0" w:line="203"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Company, through its wholly owned subsidiary Kirby Distribution &amp; Services, Inc. and its wholly owned subsidiaries Kirby Engine Systems LLC, (“Kirby Engine Systems”), Stewart &amp; Stevenson LLC (“S&amp;S”), United Holdings LLC (“United”), and through Kirby Engine Systems’ wholly owned subsidiaries Marine Systems, Inc. (“Marine Systems”) and Engine Systems, Inc. (“Engine Systems”), serves three markets, commercial and industrial, power generation, and oil and gas. The Company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operations include service mechanics to overhaul and repair engines, transmissions, reduction gears and related equipment used in marine, oilfield service , on-highway and other commercial and industrial applications, as well as rebuilding component parts or entire diesel engines, transmissions and reduction gears, electrical motors, drives, and controls, specialized electrical distribution and control systems, and related equipment. Customers are served through a network of 62 branch locations across 16 states and Colombia, South America. The Company manufactures and remanufactures power generation equipment, including behind the meter power systems and emergency</w:t>
      </w:r>
    </w:p>
    <w:p>
      <w:pPr>
        <w:spacing w:after="0" w:line="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backup systems for data center and other businesses, railcar moving equipment, and oilfield service equipment, including pressur pumping units and electric fracturing systems, for North American as well as for international oilfield service companies, and oil and gas operator and producer markets. The Company also sells engines, transmissions, and power generation systems and rents equipment including generators, industrial compressors, high-capacity lift trucks, construction equipment and refrigeration trailers for use in a variety of commercial and industrial applications.</w:t>
      </w:r>
    </w:p>
    <w:p>
      <w:pPr>
        <w:spacing w:after="0" w:line="20" w:lineRule="exact"/>
        <w:rPr>
          <w:sz w:val="20"/>
          <w:szCs w:val="20"/>
          <w:color w:val="auto"/>
        </w:rPr>
      </w:pPr>
    </w:p>
    <w:p>
      <w:pPr>
        <w:spacing w:after="0" w:line="14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Effective January 1, 2024, the power generation revenue source within the distribution and services segment has been broken out from the commercial and industrial and oil and gas revenue sources due to the significance of the power generation market to th Company’s growth. This change had no net impact on overall Company or segment revenues and has been reflected retrospectively for all periods presented.</w:t>
      </w:r>
    </w:p>
    <w:p>
      <w:pPr>
        <w:spacing w:after="0" w:line="15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commercial and industrial market, the Company sells Original Equipment Manufacturers (“OEM”) replacement parts and new diesel engines, provides service mechanics and maintains facilities to overhaul and repair diesel engines and ancillary products for marine and on-highway transportation companies, and industrial companies. The Company rents equipment including generators, industrial compressors, high-capacity lift trucks, construction equipment and refrigeration trailers for use in a variety of industrial markets.</w:t>
      </w:r>
    </w:p>
    <w:p>
      <w:pPr>
        <w:spacing w:after="0" w:line="15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For the power generation market, the Company provides engineered products and field services, OEM replacement parts and safety-related products to power generation operators and to the nuclear industry, manufactures engine generator and pump packa e for power generation operators and municipalities, offers customized power generation systems for specific commercial and industrial applications including data centers, and rents equipment including generators.</w:t>
      </w:r>
    </w:p>
    <w:p>
      <w:pPr>
        <w:spacing w:after="0" w:line="15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For the oil and gas market, the Company sells OEM replacement parts, sells and services diesel engines, pumps and transmissions, manufactures and remanufactures pressure pumping units, manufactures cementing and pumping equipment, as well as coil tubing and well intervention equipment, electric power generation equipment, and specialized electrical distribution and control equipment. Customers include oilfield service companies and oil and gas operators and producers.</w:t>
      </w:r>
    </w:p>
    <w:p>
      <w:pPr>
        <w:spacing w:after="0" w:line="154" w:lineRule="exact"/>
        <w:rPr>
          <w:sz w:val="20"/>
          <w:szCs w:val="20"/>
          <w:color w:val="auto"/>
        </w:rPr>
      </w:pPr>
    </w:p>
    <w:p>
      <w:pPr>
        <w:jc w:val="both"/>
        <w:ind w:left="20" w:firstLine="350"/>
        <w:spacing w:after="0" w:line="258" w:lineRule="auto"/>
        <w:rPr>
          <w:sz w:val="20"/>
          <w:szCs w:val="20"/>
          <w:color w:val="auto"/>
        </w:rPr>
      </w:pPr>
      <w:r>
        <w:rPr>
          <w:rFonts w:ascii="Times New Roman" w:cs="Times New Roman" w:eastAsia="Times New Roman" w:hAnsi="Times New Roman"/>
          <w:sz w:val="20"/>
          <w:szCs w:val="20"/>
          <w:color w:val="auto"/>
        </w:rPr>
        <w:t>No single customer of KDS accounted for 10% or more of the Company’s revenues in 2025, 2024, or 2023. KDS also provides service to KMT, which accounted for approximately 2% of KDS’s 2025 and 2024 revenues and 3% of the segment’s 2023 revenues. Such revenues are eliminated in consolidation and not included in the table below.</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the revenues for KDS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60" w:type="dxa"/>
            <w:vAlign w:val="bottom"/>
            <w:tcBorders>
              <w:top w:val="single" w:sz="8" w:color="EAEAEA"/>
              <w:bottom w:val="single" w:sz="8" w:color="EAEAEA"/>
            </w:tcBorders>
            <w:shd w:val="clear" w:color="auto" w:fill="EAEAEA"/>
          </w:tcPr>
          <w:p>
            <w:pPr>
              <w:ind w:left="20"/>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Service and parts</w:t>
            </w:r>
          </w:p>
        </w:tc>
        <w:tc>
          <w:tcPr>
            <w:tcW w:w="1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top w:val="single" w:sz="8" w:color="auto"/>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1,190,547</w:t>
            </w: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220" w:type="dxa"/>
            <w:vAlign w:val="bottom"/>
            <w:tcBorders>
              <w:top w:val="single" w:sz="8" w:color="EAEAEA"/>
              <w:bottom w:val="single" w:sz="8" w:color="EAEAEA"/>
            </w:tcBorders>
            <w:shd w:val="clear" w:color="auto" w:fill="EAEAEA"/>
          </w:tcPr>
          <w:p>
            <w:pPr>
              <w:spacing w:after="0"/>
              <w:rPr>
                <w:sz w:val="19"/>
                <w:szCs w:val="19"/>
                <w:color w:val="auto"/>
              </w:rPr>
            </w:pPr>
          </w:p>
        </w:tc>
        <w:tc>
          <w:tcPr>
            <w:tcW w:w="740" w:type="dxa"/>
            <w:vAlign w:val="bottom"/>
            <w:tcBorders>
              <w:top w:val="single" w:sz="8" w:color="auto"/>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83</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1"/>
                <w:shd w:val="clear" w:color="auto" w:fill="EAEAEA"/>
              </w:rPr>
              <w:t>%</w:t>
            </w:r>
          </w:p>
        </w:tc>
        <w:tc>
          <w:tcPr>
            <w:tcW w:w="180" w:type="dxa"/>
            <w:vAlign w:val="bottom"/>
            <w:tcBorders>
              <w:top w:val="single" w:sz="8" w:color="EAEAEA"/>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top w:val="single" w:sz="8" w:color="auto"/>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1,081,725</w:t>
            </w: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220" w:type="dxa"/>
            <w:vAlign w:val="bottom"/>
            <w:tcBorders>
              <w:top w:val="single" w:sz="8" w:color="EAEAEA"/>
              <w:bottom w:val="single" w:sz="8" w:color="EAEAEA"/>
            </w:tcBorders>
            <w:shd w:val="clear" w:color="auto" w:fill="EAEAEA"/>
          </w:tcPr>
          <w:p>
            <w:pPr>
              <w:spacing w:after="0"/>
              <w:rPr>
                <w:sz w:val="19"/>
                <w:szCs w:val="19"/>
                <w:color w:val="auto"/>
              </w:rPr>
            </w:pPr>
          </w:p>
        </w:tc>
        <w:tc>
          <w:tcPr>
            <w:tcW w:w="740" w:type="dxa"/>
            <w:vAlign w:val="bottom"/>
            <w:tcBorders>
              <w:top w:val="single" w:sz="8" w:color="auto"/>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80</w:t>
            </w:r>
          </w:p>
        </w:tc>
        <w:tc>
          <w:tcPr>
            <w:tcW w:w="16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180" w:type="dxa"/>
            <w:vAlign w:val="bottom"/>
            <w:tcBorders>
              <w:top w:val="single" w:sz="8" w:color="EAEAEA"/>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top w:val="single" w:sz="8" w:color="auto"/>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1,071,297</w:t>
            </w: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220" w:type="dxa"/>
            <w:vAlign w:val="bottom"/>
            <w:tcBorders>
              <w:top w:val="single" w:sz="8" w:color="EAEAEA"/>
              <w:bottom w:val="single" w:sz="8" w:color="EAEAEA"/>
            </w:tcBorders>
            <w:shd w:val="clear" w:color="auto" w:fill="EAEAEA"/>
          </w:tcPr>
          <w:p>
            <w:pPr>
              <w:spacing w:after="0"/>
              <w:rPr>
                <w:sz w:val="19"/>
                <w:szCs w:val="19"/>
                <w:color w:val="auto"/>
              </w:rPr>
            </w:pPr>
          </w:p>
        </w:tc>
        <w:tc>
          <w:tcPr>
            <w:tcW w:w="740" w:type="dxa"/>
            <w:vAlign w:val="bottom"/>
            <w:tcBorders>
              <w:top w:val="single" w:sz="8" w:color="auto"/>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78</w:t>
            </w:r>
          </w:p>
        </w:tc>
        <w:tc>
          <w:tcPr>
            <w:tcW w:w="16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top w:val="single" w:sz="8" w:color="EAEAEA"/>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Manufacturing</w:t>
            </w:r>
          </w:p>
        </w:tc>
        <w:tc>
          <w:tcPr>
            <w:tcW w:w="10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238,198</w:t>
            </w:r>
          </w:p>
        </w:tc>
        <w:tc>
          <w:tcPr>
            <w:tcW w:w="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271,101</w:t>
            </w:r>
          </w:p>
        </w:tc>
        <w:tc>
          <w:tcPr>
            <w:tcW w:w="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298,406</w:t>
            </w:r>
          </w:p>
        </w:tc>
        <w:tc>
          <w:tcPr>
            <w:tcW w:w="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AEAEA"/>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AEAEA"/>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AEAEA"/>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1,428,745</w:t>
            </w:r>
          </w:p>
        </w:tc>
        <w:tc>
          <w:tcPr>
            <w:tcW w:w="4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74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100</w:t>
            </w:r>
          </w:p>
        </w:tc>
        <w:tc>
          <w:tcPr>
            <w:tcW w:w="20" w:type="dxa"/>
            <w:vAlign w:val="bottom"/>
          </w:tcPr>
          <w:p>
            <w:pPr>
              <w:spacing w:after="0"/>
              <w:rPr>
                <w:sz w:val="19"/>
                <w:szCs w:val="19"/>
                <w:color w:val="auto"/>
              </w:rPr>
            </w:pPr>
          </w:p>
        </w:tc>
        <w:tc>
          <w:tcPr>
            <w:tcW w:w="14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1"/>
                <w:shd w:val="clear" w:color="auto" w:fill="EAEAEA"/>
              </w:rPr>
              <w:t>%</w:t>
            </w:r>
          </w:p>
        </w:tc>
        <w:tc>
          <w:tcPr>
            <w:tcW w:w="1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1,352,826</w:t>
            </w:r>
          </w:p>
        </w:tc>
        <w:tc>
          <w:tcPr>
            <w:tcW w:w="4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74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100</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1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1,369,703</w:t>
            </w:r>
          </w:p>
        </w:tc>
        <w:tc>
          <w:tcPr>
            <w:tcW w:w="4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74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100</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5198745</wp:posOffset>
            </wp:positionH>
            <wp:positionV relativeFrom="paragraph">
              <wp:posOffset>-524510</wp:posOffset>
            </wp:positionV>
            <wp:extent cx="73914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extLst>
                    </a:blip>
                    <a:srcRect/>
                    <a:stretch>
                      <a:fillRect/>
                    </a:stretch>
                  </pic:blipFill>
                  <pic:spPr bwMode="auto">
                    <a:xfrm>
                      <a:off x="0" y="0"/>
                      <a:ext cx="739140" cy="3492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-205105</wp:posOffset>
            </wp:positionV>
            <wp:extent cx="73914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extLst>
                    </a:blip>
                    <a:srcRect/>
                    <a:stretch>
                      <a:fillRect/>
                    </a:stretch>
                  </pic:blipFill>
                  <pic:spPr bwMode="auto">
                    <a:xfrm>
                      <a:off x="0" y="0"/>
                      <a:ext cx="739140" cy="3492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and Industrial Operations</w:t>
      </w:r>
    </w:p>
    <w:p>
      <w:pPr>
        <w:spacing w:after="0" w:line="203" w:lineRule="exact"/>
        <w:rPr>
          <w:sz w:val="20"/>
          <w:szCs w:val="20"/>
          <w:color w:val="auto"/>
        </w:rPr>
      </w:pPr>
    </w:p>
    <w:p>
      <w:pPr>
        <w:ind w:firstLine="359"/>
        <w:spacing w:after="0" w:line="278" w:lineRule="auto"/>
        <w:rPr>
          <w:sz w:val="20"/>
          <w:szCs w:val="20"/>
          <w:color w:val="auto"/>
        </w:rPr>
      </w:pPr>
      <w:r>
        <w:rPr>
          <w:rFonts w:ascii="Times New Roman" w:cs="Times New Roman" w:eastAsia="Times New Roman" w:hAnsi="Times New Roman"/>
          <w:sz w:val="20"/>
          <w:szCs w:val="20"/>
          <w:color w:val="auto"/>
        </w:rPr>
        <w:t>The Company serves the marine, on-highway, power generation, and other commercial and industrial markets primarily in the United States. The commercial and industrial operations represented approximately 46% of the segment’s 2025 revenues.</w:t>
      </w:r>
    </w:p>
    <w:p>
      <w:pPr>
        <w:sectPr>
          <w:pgSz w:w="12240" w:h="15840" w:orient="portrait"/>
          <w:cols w:equalWidth="0" w:num="1">
            <w:col w:w="10800"/>
          </w:cols>
          <w:pgMar w:left="720" w:top="1356" w:right="720" w:bottom="187"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10800"/>
          </w:cols>
          <w:pgMar w:left="720" w:top="1356" w:right="720" w:bottom="187" w:gutter="0" w:footer="0" w:header="0"/>
          <w:type w:val="continuous"/>
        </w:sectPr>
      </w:pPr>
    </w:p>
    <w:bookmarkStart w:id="24" w:name="page25"/>
    <w:bookmarkEnd w:id="24"/>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 have an engine speed of over 1,000 RPM and a horsepower range of 50 to 8,375. The Company services medium-speed and high-speed diesel engines utilized in the inland and offshore barge industries. It also services marine equipment and offshore drilling equipment used in the offshore petroleum exploration and oilfield service industry, marine equipment used in the offshore commercial fishing industry, harbor docking vessels, commercial ferries, vessels owned by the United States government and large pleasure crafts.</w:t>
      </w:r>
    </w:p>
    <w:p>
      <w:pPr>
        <w:spacing w:after="0" w:line="16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Company has marine repair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Louisiana, Chesapeake, Virginia, Paducah, Kentucky, Seattle, Washington, and Tampa, Florida, serving as the authorized distributor for EMD Power Products (“EMD”) throughout the United States. The Company is also an authorized distributor for EMD for certain foreign geographic region including Mexico, Central America, the northern part of South America and the Caribbean islands. The Company is also a distributor and representative for certain Alfa Laval 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Louisiana operation concentrates on the inland and offshore barge and oilfield service</w:t>
      </w:r>
    </w:p>
    <w:p>
      <w:pPr>
        <w:spacing w:after="0" w:line="9" w:lineRule="exact"/>
        <w:rPr>
          <w:sz w:val="20"/>
          <w:szCs w:val="20"/>
          <w:color w:val="auto"/>
        </w:rPr>
      </w:pPr>
    </w:p>
    <w:p>
      <w:pPr>
        <w:jc w:val="both"/>
        <w:ind w:firstLine="6"/>
        <w:spacing w:after="0" w:line="242" w:lineRule="auto"/>
        <w:rPr>
          <w:sz w:val="20"/>
          <w:szCs w:val="20"/>
          <w:color w:val="auto"/>
        </w:rPr>
      </w:pPr>
      <w:r>
        <w:rPr>
          <w:rFonts w:ascii="Times New Roman" w:cs="Times New Roman" w:eastAsia="Times New Roman" w:hAnsi="Times New Roman"/>
          <w:sz w:val="20"/>
          <w:szCs w:val="20"/>
          <w:color w:val="auto"/>
        </w:rPr>
        <w:t>industries. The Tampa, Florida operation concentrates on Gulf of America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20" w:lineRule="exact"/>
        <w:rPr>
          <w:sz w:val="20"/>
          <w:szCs w:val="20"/>
          <w:color w:val="auto"/>
        </w:rPr>
      </w:pPr>
    </w:p>
    <w:p>
      <w:pPr>
        <w:spacing w:after="0" w:line="14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high-speed marine operations are located in Houston, Texas, Houma, Baton Rouge, Belle Chasse and New Iberia, Louisiana, Paducah, Kentucky, Mobile, Alabama, Lodi and Thorofare, New Jersey, and several locations in Florida. The Company serves as a factory-authorized marine dealer for Caterpillar diesel engines in multiple states. The Company also operates factory-authorized full service marine distributorships/dealerships for Cummins, Detroit Diesel, John Deere, MTU, and Volvo Penta, and Kohler diesel</w:t>
      </w:r>
    </w:p>
    <w:p>
      <w:pPr>
        <w:spacing w:after="0" w:line="1" w:lineRule="exact"/>
        <w:rPr>
          <w:sz w:val="20"/>
          <w:szCs w:val="20"/>
          <w:color w:val="auto"/>
        </w:rPr>
      </w:pPr>
    </w:p>
    <w:p>
      <w:pPr>
        <w:jc w:val="both"/>
        <w:ind w:firstLine="7"/>
        <w:spacing w:after="0" w:line="244" w:lineRule="auto"/>
        <w:rPr>
          <w:sz w:val="20"/>
          <w:szCs w:val="20"/>
          <w:color w:val="auto"/>
        </w:rPr>
      </w:pPr>
      <w:r>
        <w:rPr>
          <w:rFonts w:ascii="Times New Roman" w:cs="Times New Roman" w:eastAsia="Times New Roman" w:hAnsi="Times New Roman"/>
          <w:sz w:val="20"/>
          <w:szCs w:val="20"/>
          <w:color w:val="auto"/>
        </w:rPr>
        <w:t>engines, as well as Falk, Lufkin and Twin Disc marine gears. High-speed diesel engines provide the main propulsion for a signif cant amount of the United States flagged commercial vessels and large pleasure craft vessels, other marine applications, including engines for power generators and barge pumps.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6615430</wp:posOffset>
            </wp:positionH>
            <wp:positionV relativeFrom="paragraph">
              <wp:posOffset>-419100</wp:posOffset>
            </wp:positionV>
            <wp:extent cx="10795" cy="87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extLst>
                    </a:blip>
                    <a:srcRect/>
                    <a:stretch>
                      <a:fillRect/>
                    </a:stretch>
                  </pic:blipFill>
                  <pic:spPr bwMode="auto">
                    <a:xfrm>
                      <a:off x="0" y="0"/>
                      <a:ext cx="10795" cy="87630"/>
                    </a:xfrm>
                    <a:prstGeom prst="rect">
                      <a:avLst/>
                    </a:prstGeom>
                    <a:noFill/>
                  </pic:spPr>
                </pic:pic>
              </a:graphicData>
            </a:graphic>
          </wp:anchor>
        </w:drawing>
      </w:r>
    </w:p>
    <w:p>
      <w:pPr>
        <w:spacing w:after="0" w:line="14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and haul trucks, as well as equipment rental.</w:t>
      </w:r>
    </w:p>
    <w:p>
      <w:pPr>
        <w:spacing w:after="0" w:line="161" w:lineRule="exact"/>
        <w:rPr>
          <w:sz w:val="20"/>
          <w:szCs w:val="20"/>
          <w:color w:val="auto"/>
        </w:rPr>
      </w:pPr>
    </w:p>
    <w:p>
      <w:pPr>
        <w:jc w:val="both"/>
        <w:ind w:firstLine="410"/>
        <w:spacing w:after="0" w:line="252" w:lineRule="auto"/>
        <w:rPr>
          <w:sz w:val="20"/>
          <w:szCs w:val="20"/>
          <w:color w:val="auto"/>
        </w:rPr>
      </w:pPr>
      <w:r>
        <w:rPr>
          <w:rFonts w:ascii="Times New Roman" w:cs="Times New Roman" w:eastAsia="Times New Roman" w:hAnsi="Times New Roman"/>
          <w:sz w:val="20"/>
          <w:szCs w:val="20"/>
          <w:color w:val="auto"/>
        </w:rPr>
        <w:t>The Company also is engaged in the rental of industrial compressors, high capacity lift trucks, construction equipment and refrigeration trailers. In addition, the Company provides accessory products such as cables, hoses, fuel cells, air dryers, air compressor boosters and ground heaters. Lastly, the Company is a dealer for Thermo King refrigeration systems for trucks, railroad cars and other land transportation markets in Texas and Colorado.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and Industrial Customers</w:t>
      </w:r>
    </w:p>
    <w:p>
      <w:pPr>
        <w:spacing w:after="0" w:line="20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results of the distribution and services industry are largely tied to the industrial markets it serves and, therefore, are influenced by the cycles of such markets. The Company’s major marine customers include inland and offshore barge operators, oilfield service companies, offshore fishing companies, other marine transportation entities, the United States government and large pleasure crafts. The marine business is linked to the relative health of the inland towboat, offshore and coastal tugboat, harbor docking tugboat, offshore oilfield service, oil and gas drilling, offshore commercial fishing industries, Great Lakes ore vessels, dredging vessels, coastal ferries, United States government vessels and the pleasure craft industry.</w:t>
      </w:r>
    </w:p>
    <w:p>
      <w:pPr>
        <w:spacing w:after="0" w:line="16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ectPr>
          <w:pgSz w:w="12240" w:h="15840" w:orient="portrait"/>
          <w:cols w:equalWidth="0" w:num="1">
            <w:col w:w="10800"/>
          </w:cols>
          <w:pgMar w:left="720" w:top="930" w:right="7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ectPr>
          <w:pgSz w:w="12240" w:h="15840" w:orient="portrait"/>
          <w:cols w:equalWidth="0" w:num="1">
            <w:col w:w="10800"/>
          </w:cols>
          <w:pgMar w:left="720" w:top="930" w:right="720" w:bottom="21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Commercial and Industrial Competitive Conditions</w:t>
      </w:r>
    </w:p>
    <w:p>
      <w:pPr>
        <w:spacing w:after="0" w:line="20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one source of support and service for all of their requirements at pre-negotiated prices.</w:t>
      </w:r>
    </w:p>
    <w:p>
      <w:pPr>
        <w:spacing w:after="0" w:line="16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is one of a limited number of authorized resellers of EMD, Caterpillar, Cummins, Detroit Diesel, John Deere, MTU and Volvo Penta parts. The Company is also the marine distributor for Falk and Lufkin reduction gears throughout the United States.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Generation Operations</w:t>
      </w:r>
    </w:p>
    <w:p>
      <w:pPr>
        <w:spacing w:after="0" w:line="20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is engaged in the manufacturing, installation and servicing of new power generation units, and also provides standby and rental backup power generation units. The power generation operations represented approximately 43% of the segment’s 2025 revenues. The Company is engaged in the overhaul and repair of natural gas and diesel engines and generators, and related parts sales for power generation customers. The Company is also engaged in the sale and distribution of engine parts, engine modifications, generator modifications, controls, governors and generator packages to the nuclear industry. The Company services users of engine that provide emergency standby, peak and base load power generation. The Company services dual fuel, natural gas, and diesel engines. The Company also sells power generation systems that are customized for specific applications and the rental of power generation systems.</w:t>
      </w:r>
    </w:p>
    <w:p>
      <w:pPr>
        <w:spacing w:after="0" w:line="16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Cooper Machinery Services (“Cooper”) products to the nuclear industry and owns the assets and technology necessary to support the Nordberg medium-speed diesel engines used in nuclear applications. In additi 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also a non-exclusive distributor of Ingersoll Rand air start equipment to the nuclear industry worldwide.</w:t>
      </w:r>
    </w:p>
    <w:p>
      <w:pPr>
        <w:spacing w:after="0" w:line="39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Company sells pre-packaged and fabricated power generation systems for emergency, standby and auxiliary power applications. The Company also offers rental generator systems from 50 to 2,000 kilowatts of power to a broad range of customer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Generation Customers</w:t>
      </w:r>
    </w:p>
    <w:p>
      <w:pPr>
        <w:spacing w:after="0" w:line="20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The Company’s power generation customers are domestic utilities and the worldwide nuclear power industry, municipalities, universities, medical facilities, data centers, petrochemical plants, manufacturing facilities, shopping malls, office complexe residential, oil and gas operators, prime power, and other industrial users.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Generation Competitive Conditions</w:t>
      </w:r>
    </w:p>
    <w:p>
      <w:pPr>
        <w:spacing w:after="0" w:line="20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Company’s primary power generation competitors are other independent power generation and prime power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noted above, the Company is the exclusive worldwide distributor of EMD, Cooper, Woodward, Nordberg, Norlake and</w:t>
      </w:r>
    </w:p>
    <w:p>
      <w:pPr>
        <w:spacing w:after="0" w:line="29" w:lineRule="exact"/>
        <w:rPr>
          <w:sz w:val="20"/>
          <w:szCs w:val="20"/>
          <w:color w:val="auto"/>
        </w:rPr>
      </w:pPr>
    </w:p>
    <w:p>
      <w:pPr>
        <w:jc w:val="both"/>
        <w:ind w:firstLine="2"/>
        <w:spacing w:after="0" w:line="244" w:lineRule="auto"/>
        <w:rPr>
          <w:sz w:val="20"/>
          <w:szCs w:val="20"/>
          <w:color w:val="auto"/>
        </w:rPr>
      </w:pPr>
      <w:r>
        <w:rPr>
          <w:rFonts w:ascii="Times New Roman" w:cs="Times New Roman" w:eastAsia="Times New Roman" w:hAnsi="Times New Roman"/>
          <w:sz w:val="20"/>
          <w:szCs w:val="20"/>
          <w:color w:val="auto"/>
        </w:rPr>
        <w:t>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6563995</wp:posOffset>
            </wp:positionH>
            <wp:positionV relativeFrom="paragraph">
              <wp:posOffset>-383540</wp:posOffset>
            </wp:positionV>
            <wp:extent cx="952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extLst>
                    </a:blip>
                    <a:srcRect/>
                    <a:stretch>
                      <a:fillRect/>
                    </a:stretch>
                  </pic:blipFill>
                  <pic:spPr bwMode="auto">
                    <a:xfrm>
                      <a:off x="0" y="0"/>
                      <a:ext cx="9525" cy="469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Oil and Gas Operations</w:t>
      </w:r>
    </w:p>
    <w:p>
      <w:pPr>
        <w:spacing w:after="0" w:line="203" w:lineRule="exact"/>
        <w:rPr>
          <w:sz w:val="20"/>
          <w:szCs w:val="20"/>
          <w:color w:val="auto"/>
        </w:rPr>
      </w:pPr>
    </w:p>
    <w:p>
      <w:pPr>
        <w:jc w:val="both"/>
        <w:ind w:firstLine="358"/>
        <w:spacing w:after="0" w:line="278" w:lineRule="auto"/>
        <w:rPr>
          <w:sz w:val="20"/>
          <w:szCs w:val="20"/>
          <w:color w:val="auto"/>
        </w:rPr>
      </w:pPr>
      <w:r>
        <w:rPr>
          <w:rFonts w:ascii="Times New Roman" w:cs="Times New Roman" w:eastAsia="Times New Roman" w:hAnsi="Times New Roman"/>
          <w:sz w:val="20"/>
          <w:szCs w:val="20"/>
          <w:color w:val="auto"/>
        </w:rPr>
        <w:t>The Company is engaged in the distribution and service of high-speed diesel engines, pumps and transmissions, and the manufacture and remanufacture of oilfield service equipment. The oil and gas operations represented approximately 11% of the</w:t>
      </w:r>
    </w:p>
    <w:p>
      <w:pPr>
        <w:sectPr>
          <w:pgSz w:w="12240" w:h="15840" w:orient="portrait"/>
          <w:cols w:equalWidth="0" w:num="1">
            <w:col w:w="10800"/>
          </w:cols>
          <w:pgMar w:left="720" w:top="926" w:right="720" w:bottom="187"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10800"/>
          </w:cols>
          <w:pgMar w:left="720" w:top="926" w:right="720" w:bottom="187" w:gutter="0" w:footer="0" w:header="0"/>
          <w:type w:val="continuous"/>
        </w:sectPr>
      </w:pPr>
    </w:p>
    <w:bookmarkStart w:id="26" w:name="page27"/>
    <w:bookmarkEnd w:id="26"/>
    <w:p>
      <w:pPr>
        <w:jc w:val="both"/>
        <w:ind w:firstLine="3"/>
        <w:spacing w:after="0" w:line="250" w:lineRule="auto"/>
        <w:rPr>
          <w:sz w:val="20"/>
          <w:szCs w:val="20"/>
          <w:color w:val="auto"/>
        </w:rPr>
      </w:pPr>
      <w:r>
        <w:rPr>
          <w:rFonts w:ascii="Times New Roman" w:cs="Times New Roman" w:eastAsia="Times New Roman" w:hAnsi="Times New Roman"/>
          <w:sz w:val="20"/>
          <w:szCs w:val="20"/>
          <w:color w:val="auto"/>
        </w:rPr>
        <w:t>segment’s 2025 revenues. The Company offers custom fabricated oilfield service equipment that is fully tested and field ready. The Company manufactures and remanufactures oilfield service equipment, including pressure pumping units, nitrogen pumping units, cementers, hydration equipment, mud pumps and blenders, coil tubing, and well intervention equipment. The Company sells OEM</w:t>
      </w:r>
    </w:p>
    <w:p>
      <w:pPr>
        <w:jc w:val="both"/>
        <w:ind w:firstLine="1"/>
        <w:spacing w:after="0" w:line="244" w:lineRule="auto"/>
        <w:rPr>
          <w:sz w:val="20"/>
          <w:szCs w:val="20"/>
          <w:color w:val="auto"/>
        </w:rPr>
      </w:pPr>
      <w:r>
        <w:rPr>
          <w:rFonts w:ascii="Times New Roman" w:cs="Times New Roman" w:eastAsia="Times New Roman" w:hAnsi="Times New Roman"/>
          <w:sz w:val="20"/>
          <w:szCs w:val="20"/>
          <w:color w:val="auto"/>
        </w:rPr>
        <w:t>replacement parts, and sells and services diesel engines, electric drives, motors and controls, pumps and transmissions, and offers in-house and in-field service capabilities. The Company is the largest off-highway distributor for Allison Transmission and a major distributor for MTU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6493510</wp:posOffset>
            </wp:positionH>
            <wp:positionV relativeFrom="paragraph">
              <wp:posOffset>-388620</wp:posOffset>
            </wp:positionV>
            <wp:extent cx="9525" cy="57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extLst>
                    </a:blip>
                    <a:srcRect/>
                    <a:stretch>
                      <a:fillRect/>
                    </a:stretch>
                  </pic:blipFill>
                  <pic:spPr bwMode="auto">
                    <a:xfrm>
                      <a:off x="0" y="0"/>
                      <a:ext cx="9525" cy="57150"/>
                    </a:xfrm>
                    <a:prstGeom prst="rect">
                      <a:avLst/>
                    </a:prstGeom>
                    <a:noFill/>
                  </pic:spPr>
                </pic:pic>
              </a:graphicData>
            </a:graphic>
          </wp:anchor>
        </w:drawing>
      </w:r>
    </w:p>
    <w:p>
      <w:pPr>
        <w:spacing w:after="0" w:line="141"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color w:val="auto"/>
        </w:rPr>
        <w:t>The Company’s manufacturing and remanufacturing facilities and service facilities are based in Houston, Texas and Oklahoma City, Oklahoma, both key oil and gas producing regions.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Oil and Gas Customers</w:t>
      </w:r>
    </w:p>
    <w:p>
      <w:pPr>
        <w:spacing w:after="0" w:line="20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industrial markets it serves and, therefore, are influenced by the cycles of such markets.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Oil and Gas Competitive Conditions</w:t>
      </w:r>
    </w:p>
    <w:p>
      <w:pPr>
        <w:spacing w:after="0" w:line="20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Company’s primary competitors in the oil and gas market are other oilfield equipment manufacturers and remanufacturers, and equipment service companies. While price is a major determinant in the competitive process, equipment availability, reputation,</w:t>
      </w:r>
    </w:p>
    <w:p>
      <w:pPr>
        <w:spacing w:after="0" w:line="1" w:lineRule="exact"/>
        <w:rPr>
          <w:sz w:val="20"/>
          <w:szCs w:val="20"/>
          <w:color w:val="auto"/>
        </w:rPr>
      </w:pPr>
    </w:p>
    <w:p>
      <w:pPr>
        <w:jc w:val="both"/>
        <w:ind w:firstLine="7"/>
        <w:spacing w:after="0" w:line="248" w:lineRule="auto"/>
        <w:rPr>
          <w:sz w:val="20"/>
          <w:szCs w:val="20"/>
          <w:color w:val="auto"/>
        </w:rPr>
      </w:pPr>
      <w:r>
        <w:rPr>
          <w:rFonts w:ascii="Times New Roman" w:cs="Times New Roman" w:eastAsia="Times New Roman" w:hAnsi="Times New Roman"/>
          <w:sz w:val="20"/>
          <w:szCs w:val="20"/>
          <w:color w:val="auto"/>
        </w:rPr>
        <w:t>consistent quality, expeditious service, experienced personnel, access to parts inventories and market presence are also signif cant factors. A substantial portion of the Company’s business is obtained by competitive bids.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6616065</wp:posOffset>
            </wp:positionH>
            <wp:positionV relativeFrom="paragraph">
              <wp:posOffset>-276225</wp:posOffset>
            </wp:positionV>
            <wp:extent cx="10795" cy="87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extLst>
                    </a:blip>
                    <a:srcRect/>
                    <a:stretch>
                      <a:fillRect/>
                    </a:stretch>
                  </pic:blipFill>
                  <pic:spPr bwMode="auto">
                    <a:xfrm>
                      <a:off x="0" y="0"/>
                      <a:ext cx="10795" cy="8763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Regulations</w:t>
      </w:r>
    </w:p>
    <w:p>
      <w:pPr>
        <w:spacing w:after="0" w:line="204" w:lineRule="exact"/>
        <w:rPr>
          <w:sz w:val="20"/>
          <w:szCs w:val="20"/>
          <w:color w:val="auto"/>
        </w:rPr>
      </w:pPr>
    </w:p>
    <w:p>
      <w:pPr>
        <w:jc w:val="both"/>
        <w:ind w:firstLine="374"/>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Company’s operations, products, and services are subject to various government regulations, which vary 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upon its operations across and within its business segments.</w:t>
      </w:r>
    </w:p>
    <w:p>
      <w:pPr>
        <w:spacing w:after="0" w:line="128" w:lineRule="exact"/>
        <w:rPr>
          <w:sz w:val="20"/>
          <w:szCs w:val="20"/>
          <w:color w:val="auto"/>
        </w:rPr>
      </w:pPr>
    </w:p>
    <w:p>
      <w:pPr>
        <w:jc w:val="both"/>
        <w:ind w:firstLine="365"/>
        <w:spacing w:after="0" w:line="259" w:lineRule="auto"/>
        <w:rPr>
          <w:sz w:val="20"/>
          <w:szCs w:val="20"/>
          <w:color w:val="auto"/>
        </w:rPr>
      </w:pPr>
      <w:r>
        <w:rPr>
          <w:rFonts w:ascii="Times New Roman" w:cs="Times New Roman" w:eastAsia="Times New Roman" w:hAnsi="Times New Roman"/>
          <w:sz w:val="20"/>
          <w:szCs w:val="20"/>
          <w:color w:val="auto"/>
        </w:rPr>
        <w:t>In KMT, the Company’s marine transportation operations are subject to regulation by the United States Coast Guard (“USCG”), federal laws, state laws, the laws of other countries when operating in their waters, and certain international conventions. The agencies establish safety requirements and standards and are authorized to investigate incidents.</w:t>
      </w:r>
    </w:p>
    <w:p>
      <w:pPr>
        <w:spacing w:after="0" w:line="146" w:lineRule="exact"/>
        <w:rPr>
          <w:sz w:val="20"/>
          <w:szCs w:val="20"/>
          <w:color w:val="auto"/>
        </w:rPr>
      </w:pPr>
    </w:p>
    <w:p>
      <w:pPr>
        <w:jc w:val="both"/>
        <w:ind w:firstLine="359"/>
        <w:spacing w:after="0" w:line="244" w:lineRule="auto"/>
        <w:rPr>
          <w:sz w:val="20"/>
          <w:szCs w:val="20"/>
          <w:color w:val="auto"/>
        </w:rPr>
      </w:pPr>
      <w:r>
        <w:rPr>
          <w:rFonts w:ascii="Times New Roman" w:cs="Times New Roman" w:eastAsia="Times New Roman" w:hAnsi="Times New Roman"/>
          <w:sz w:val="20"/>
          <w:szCs w:val="20"/>
          <w:color w:val="auto"/>
        </w:rPr>
        <w:t>Most of the Company’s tank barges are inspected by the USCG and carry certificates of inspection. The Company’s inland and coastal towing vessels and coastal dry-bulk barges are also subject to USCG regulations. The USCG has enacted safety regulation governing the inspection, standards, and safety management systems of towing vessels. The regulations also create many new requirements for design, construction, equipment, and operation of towing vessels. The USCG regulations supersede the jurisdiction of the United States Occupational Safety and Health Administration (“OSHA”) and any state regulations on vessel design, construction, alteration, repair, maintenance, operation, equipping, personnel qualifications and manning. The regulations requiring towing vessels to obtain a certificate of inspection became effective for existing towing vessels on July 20, 2018. Other portions of the</w:t>
      </w:r>
    </w:p>
    <w:p>
      <w:pPr>
        <w:spacing w:after="0" w:line="1" w:lineRule="exact"/>
        <w:rPr>
          <w:sz w:val="20"/>
          <w:szCs w:val="20"/>
          <w:color w:val="auto"/>
        </w:rPr>
      </w:pPr>
    </w:p>
    <w:p>
      <w:pPr>
        <w:jc w:val="both"/>
        <w:ind w:hanging="5"/>
        <w:spacing w:after="0" w:line="248" w:lineRule="auto"/>
        <w:rPr>
          <w:sz w:val="20"/>
          <w:szCs w:val="20"/>
          <w:color w:val="auto"/>
        </w:rPr>
      </w:pPr>
      <w:r>
        <w:rPr>
          <w:rFonts w:ascii="Times New Roman" w:cs="Times New Roman" w:eastAsia="Times New Roman" w:hAnsi="Times New Roman"/>
          <w:sz w:val="20"/>
          <w:szCs w:val="20"/>
          <w:color w:val="auto"/>
        </w:rPr>
        <w:t>regulations were phased in following the July 20, 2018 effective date through July 19, 2022, by which time the Company was in full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6724015</wp:posOffset>
            </wp:positionH>
            <wp:positionV relativeFrom="paragraph">
              <wp:posOffset>-245110</wp:posOffset>
            </wp:positionV>
            <wp:extent cx="13970"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a:extLst>
                        <a:ext uri="{28A0092B-C50C-407E-A947-70E740481C1C}"/>
                      </a:extLst>
                    </a:blip>
                    <a:srcRect/>
                    <a:stretch>
                      <a:fillRect/>
                    </a:stretch>
                  </pic:blipFill>
                  <pic:spPr bwMode="auto">
                    <a:xfrm>
                      <a:off x="0" y="0"/>
                      <a:ext cx="13970" cy="53975"/>
                    </a:xfrm>
                    <a:prstGeom prst="rect">
                      <a:avLst/>
                    </a:prstGeom>
                    <a:noFill/>
                  </pic:spPr>
                </pic:pic>
              </a:graphicData>
            </a:graphic>
          </wp:anchor>
        </w:drawing>
      </w:r>
    </w:p>
    <w:p>
      <w:pPr>
        <w:spacing w:after="0" w:line="13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All of the Company’s coastal tugboats and coastal tank and dry-bulk barges are built to American Bureau of Shipping (“ABS”) classification standards and/or statutory requirements issued by the USCG, and are inspected periodically by ABS and/or the USCG to maintain the vessels in class and compliant with all U.S. statutory requirements, as applicable to the vessel. The crews employed by the Company aboard inland and coastal vessels, including captains, pilots, engineers, tankermen and ordinary seamen, are licensed by the USCG.</w:t>
      </w:r>
    </w:p>
    <w:p>
      <w:pPr>
        <w:spacing w:after="0" w:line="15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Company is required by various governmental agencies to obtain licenses, certificates and permits for its vessels depending upon such factors as the cargo transported, the waters in which the vessels operate and other factors. The Company believes that its</w:t>
      </w:r>
    </w:p>
    <w:p>
      <w:pPr>
        <w:jc w:val="both"/>
        <w:ind w:firstLine="2"/>
        <w:spacing w:after="0" w:line="248" w:lineRule="auto"/>
        <w:rPr>
          <w:sz w:val="20"/>
          <w:szCs w:val="20"/>
          <w:color w:val="auto"/>
        </w:rPr>
      </w:pPr>
      <w:r>
        <w:rPr>
          <w:rFonts w:ascii="Times New Roman" w:cs="Times New Roman" w:eastAsia="Times New Roman" w:hAnsi="Times New Roman"/>
          <w:sz w:val="20"/>
          <w:szCs w:val="20"/>
          <w:color w:val="auto"/>
        </w:rPr>
        <w:t>vessels have obtained and can maintain all required licenses, certificates and permits required by such governmental agencies for the foreseeable future. The Company’s failure to maintain these authorizations could adversely impact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6563995</wp:posOffset>
            </wp:positionH>
            <wp:positionV relativeFrom="paragraph">
              <wp:posOffset>-240665</wp:posOffset>
            </wp:positionV>
            <wp:extent cx="10160" cy="4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extLst>
                    </a:blip>
                    <a:srcRect/>
                    <a:stretch>
                      <a:fillRect/>
                    </a:stretch>
                  </pic:blipFill>
                  <pic:spPr bwMode="auto">
                    <a:xfrm>
                      <a:off x="0" y="0"/>
                      <a:ext cx="10160" cy="48895"/>
                    </a:xfrm>
                    <a:prstGeom prst="rect">
                      <a:avLst/>
                    </a:prstGeom>
                    <a:noFill/>
                  </pic:spPr>
                </pic:pic>
              </a:graphicData>
            </a:graphic>
          </wp:anchor>
        </w:drawing>
      </w:r>
    </w:p>
    <w:p>
      <w:pPr>
        <w:spacing w:after="0" w:line="13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believes that additional security and environmental related regulations relating to contingency planning requirements could be imposed on the marine industry. Generally, the Company believes it is currently operating to standards at least equal to anticipated additional regulations.</w:t>
      </w:r>
    </w:p>
    <w:p>
      <w:pPr>
        <w:spacing w:after="0" w:line="145" w:lineRule="exact"/>
        <w:rPr>
          <w:sz w:val="20"/>
          <w:szCs w:val="20"/>
          <w:color w:val="auto"/>
        </w:rPr>
      </w:pPr>
    </w:p>
    <w:p>
      <w:pPr>
        <w:jc w:val="both"/>
        <w:ind w:firstLine="363"/>
        <w:spacing w:after="0" w:line="278" w:lineRule="auto"/>
        <w:rPr>
          <w:sz w:val="20"/>
          <w:szCs w:val="20"/>
          <w:color w:val="auto"/>
        </w:rPr>
      </w:pPr>
      <w:r>
        <w:rPr>
          <w:rFonts w:ascii="Times New Roman" w:cs="Times New Roman" w:eastAsia="Times New Roman" w:hAnsi="Times New Roman"/>
          <w:sz w:val="20"/>
          <w:szCs w:val="20"/>
          <w:color w:val="auto"/>
        </w:rPr>
        <w:t>When the Company does operate in foreign jurisdictions, it is subject to the legal and regulatory requirements of those jurisdictions in addition to those generally applicable to the Company's domestic operations. This is primarily applicable to the coastal</w:t>
      </w:r>
    </w:p>
    <w:p>
      <w:pPr>
        <w:sectPr>
          <w:pgSz w:w="12240" w:h="15840" w:orient="portrait"/>
          <w:cols w:equalWidth="0" w:num="1">
            <w:col w:w="10800"/>
          </w:cols>
          <w:pgMar w:left="720" w:top="929" w:right="720" w:bottom="210" w:gutter="0" w:footer="0" w:header="0"/>
        </w:sect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15</w:t>
      </w:r>
    </w:p>
    <w:p>
      <w:pPr>
        <w:sectPr>
          <w:pgSz w:w="12240" w:h="15840" w:orient="portrait"/>
          <w:cols w:equalWidth="0" w:num="1">
            <w:col w:w="10800"/>
          </w:cols>
          <w:pgMar w:left="720" w:top="929" w:right="720" w:bottom="210" w:gutter="0" w:footer="0" w:header="0"/>
          <w:type w:val="continuous"/>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20"/>
          <w:szCs w:val="20"/>
          <w:color w:val="auto"/>
        </w:rPr>
        <w:t>business of the KMT segment and Colombia branches in the KDS segment. Further, to the extent the Company does business with foreign counterparties, it is subject to additional rules and regulations, in particular, with regard to import and export compliance and the Foreign Corrupt Practices Act (“FCPA”), or similar local applicable anti-bribery laws. The Company provides anti-corruption training to all of its employees.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Jones Act. </w:t>
      </w:r>
      <w:r>
        <w:rPr>
          <w:rFonts w:ascii="Times New Roman" w:cs="Times New Roman" w:eastAsia="Times New Roman" w:hAnsi="Times New Roman"/>
          <w:sz w:val="20"/>
          <w:szCs w:val="20"/>
          <w:color w:val="auto"/>
        </w:rPr>
        <w:t>The Jones Act is a federal cabotage law that restricts domestic marine transportation in the United States to vessels</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built and registered in the United States and manned, owned and operated by United States citizens. For a corporation to qualify as a United States citizen for the purpose of domestic trade, it has to be 75% owned and controlled by United States citizens within the meaning of the Jones Act. The Company monitors its citizenship status and meets the requirements of the Jones Act for its owned and operated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6558280</wp:posOffset>
            </wp:positionH>
            <wp:positionV relativeFrom="paragraph">
              <wp:posOffset>-532765</wp:posOffset>
            </wp:positionV>
            <wp:extent cx="13970" cy="84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extLst>
                    </a:blip>
                    <a:srcRect/>
                    <a:stretch>
                      <a:fillRect/>
                    </a:stretch>
                  </pic:blipFill>
                  <pic:spPr bwMode="auto">
                    <a:xfrm>
                      <a:off x="0" y="0"/>
                      <a:ext cx="13970" cy="84455"/>
                    </a:xfrm>
                    <a:prstGeom prst="rect">
                      <a:avLst/>
                    </a:prstGeom>
                    <a:noFill/>
                  </pic:spPr>
                </pic:pic>
              </a:graphicData>
            </a:graphic>
          </wp:anchor>
        </w:drawing>
      </w:r>
    </w:p>
    <w:p>
      <w:pPr>
        <w:spacing w:after="0" w:line="143" w:lineRule="exact"/>
        <w:rPr>
          <w:sz w:val="20"/>
          <w:szCs w:val="20"/>
          <w:color w:val="auto"/>
        </w:rPr>
      </w:pPr>
    </w:p>
    <w:p>
      <w:pPr>
        <w:jc w:val="both"/>
        <w:ind w:firstLine="366"/>
        <w:spacing w:after="0" w:line="259" w:lineRule="auto"/>
        <w:rPr>
          <w:sz w:val="20"/>
          <w:szCs w:val="20"/>
          <w:color w:val="auto"/>
        </w:rPr>
      </w:pPr>
      <w:r>
        <w:rPr>
          <w:rFonts w:ascii="Times New Roman" w:cs="Times New Roman" w:eastAsia="Times New Roman" w:hAnsi="Times New Roman"/>
          <w:sz w:val="20"/>
          <w:szCs w:val="20"/>
          <w:color w:val="auto"/>
        </w:rPr>
        <w:t>Compliance with United States ownership requirements of the Jones Act is important to the operations of the Company, and a violation of the Jones Act could have a material negative effect on the Company and its vessels’ ability to operate. The Company monitors the citizenship of its employees and stockholders and complies with United States build requirements.</w:t>
      </w:r>
    </w:p>
    <w:p>
      <w:pPr>
        <w:spacing w:after="0" w:line="146" w:lineRule="exact"/>
        <w:rPr>
          <w:sz w:val="20"/>
          <w:szCs w:val="20"/>
          <w:color w:val="auto"/>
        </w:rPr>
      </w:pPr>
    </w:p>
    <w:p>
      <w:pPr>
        <w:jc w:val="both"/>
        <w:ind w:firstLine="381"/>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User Taxes. </w:t>
      </w:r>
      <w:r>
        <w:rPr>
          <w:rFonts w:ascii="Times New Roman" w:cs="Times New Roman" w:eastAsia="Times New Roman" w:hAnsi="Times New Roman"/>
          <w:sz w:val="20"/>
          <w:szCs w:val="20"/>
          <w:color w:val="auto"/>
        </w:rPr>
        <w:t>Federal legislation requires that inland marine transportation companies pay a user tax based on propulsion fuel used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vessels engaged in trade along the inland waterways that are maintained by the United States Army Corps of Engineers. Such u er taxes are intended to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15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Company presently pays a federal fuel user tax of 29.1 cents per gallon consisting of a 0.1 cent per gallon leaking underground storage tank tax and 29 cents per gallon waterways user tax.</w:t>
      </w:r>
    </w:p>
    <w:p>
      <w:pPr>
        <w:spacing w:after="0" w:line="128"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Security Requirements. </w:t>
      </w:r>
      <w:r>
        <w:rPr>
          <w:rFonts w:ascii="Times New Roman" w:cs="Times New Roman" w:eastAsia="Times New Roman" w:hAnsi="Times New Roman"/>
          <w:sz w:val="20"/>
          <w:szCs w:val="20"/>
          <w:color w:val="auto"/>
        </w:rPr>
        <w:t>The Maritime Transportation Security Act of 2002 requires, among other things, submission to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approval by the USCG of vessel and waterfront facility security plans (“VSP” and “FSP”, respectively). The Company maintains approved VSPs and FSPs and is operating in compliance with the plans for all of its vessels and facilities that are subject to the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Regulations</w:t>
      </w:r>
    </w:p>
    <w:p>
      <w:pPr>
        <w:spacing w:after="0" w:line="203" w:lineRule="exact"/>
        <w:rPr>
          <w:sz w:val="20"/>
          <w:szCs w:val="20"/>
          <w:color w:val="auto"/>
        </w:rPr>
      </w:pPr>
    </w:p>
    <w:p>
      <w:pPr>
        <w:jc w:val="both"/>
        <w:ind w:firstLine="359"/>
        <w:spacing w:after="0" w:line="246" w:lineRule="auto"/>
        <w:rPr>
          <w:sz w:val="20"/>
          <w:szCs w:val="20"/>
          <w:color w:val="auto"/>
        </w:rPr>
      </w:pPr>
      <w:r>
        <w:rPr>
          <w:rFonts w:ascii="Times New Roman" w:cs="Times New Roman" w:eastAsia="Times New Roman" w:hAnsi="Times New Roman"/>
          <w:sz w:val="20"/>
          <w:szCs w:val="20"/>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or the Company operates in such jurisdictions. Government regulations require the Company to obtain permits, licenses and certificates for the operation of its vessels and its facilities in both KMT and KDS. Failure to maintain necessary permits or approvals could require the Company to incur costs or temporarily suspend operation of one or more of its vessels or other facilities. Violations of applicable federal, state or local laws may result in civil and criminal penalties, fines, or other sanctions.</w:t>
      </w:r>
    </w:p>
    <w:p>
      <w:pPr>
        <w:spacing w:after="0" w:line="16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Water Pollution Regulations. </w:t>
      </w:r>
      <w:r>
        <w:rPr>
          <w:rFonts w:ascii="Times New Roman" w:cs="Times New Roman" w:eastAsia="Times New Roman" w:hAnsi="Times New Roman"/>
          <w:sz w:val="20"/>
          <w:szCs w:val="20"/>
          <w:color w:val="auto"/>
        </w:rPr>
        <w:t>The Federal Water Pollution Control Act of 1972, as amended by the Clean Water Act of 1977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(“Clean Water Act”), the Comprehensive Environmental Response, Compensation and Liability Act of 1981 (“CERCLA”) and the Oil Pollution Act of 1990 (“OPA”) impose strict prohibitions against the discharge of oil and its derivatives or hazardous substances into the navigable waters of the United States or to the environment.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161"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153"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Clean Water Act. </w:t>
      </w:r>
      <w:r>
        <w:rPr>
          <w:rFonts w:ascii="Times New Roman" w:cs="Times New Roman" w:eastAsia="Times New Roman" w:hAnsi="Times New Roman"/>
          <w:sz w:val="20"/>
          <w:szCs w:val="20"/>
          <w:color w:val="auto"/>
        </w:rPr>
        <w:t>The Clean Water Act establishes the National Pollutant Discharge Elimination System (“NPDES”) permitting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 which regulates discharges into navigable waters of the United States. The United States Environmental Protection Agenc (“EPA”) regulates the discharge of ballast water and other substances in United States waters under the Clean Water Act. Pursuant to the NPDES program, effective February 6, 2009, the EPA issued regulations requiring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w:t>
      </w:r>
    </w:p>
    <w:p>
      <w:pPr>
        <w:sectPr>
          <w:pgSz w:w="12240" w:h="15840" w:orient="portrait"/>
          <w:cols w:equalWidth="0" w:num="1">
            <w:col w:w="10800"/>
          </w:cols>
          <w:pgMar w:left="720" w:top="930" w:right="720" w:bottom="187"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10800"/>
          </w:cols>
          <w:pgMar w:left="720" w:top="930" w:right="720" w:bottom="187" w:gutter="0" w:footer="0" w:header="0"/>
          <w:type w:val="continuous"/>
        </w:sectPr>
      </w:pPr>
    </w:p>
    <w:bookmarkStart w:id="28" w:name="page29"/>
    <w:bookmarkEnd w:id="28"/>
    <w:p>
      <w:pPr>
        <w:ind w:firstLine="10"/>
        <w:spacing w:after="0" w:line="245" w:lineRule="auto"/>
        <w:rPr>
          <w:sz w:val="20"/>
          <w:szCs w:val="20"/>
          <w:color w:val="auto"/>
        </w:rPr>
      </w:pPr>
      <w:r>
        <w:rPr>
          <w:rFonts w:ascii="Times New Roman" w:cs="Times New Roman" w:eastAsia="Times New Roman" w:hAnsi="Times New Roman"/>
          <w:sz w:val="20"/>
          <w:szCs w:val="20"/>
          <w:color w:val="auto"/>
        </w:rPr>
        <w:t>specific inspection, monitoring, recordkeeping and reporting requirements for vessels to ensure effluent limitations are met. The Vessel Incidental Discharge Act (“VIDA”), signed into law on December 4, 2018, established a new framework for the regulation of vessel incidental discharges under the Clean Water Act. VIDA requires the EPA to develop national performance standards for tho discharges within two years of enactment and requires the USCG to develop implementation, compliance, and enforcement regulations within two years of the EPA’s promulgation of standards. Under VIDA, all provisions of the Vessel General Permit which became effective December 19, 2013, remain in force and effect until the USCG regulations are finalized. The Company maintains Vessel General Permits and has established recordkeeping and reporting procedures in compliance with the EPA’s interim requirements.</w:t>
      </w:r>
    </w:p>
    <w:p>
      <w:pPr>
        <w:spacing w:after="0" w:line="162"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a BWMS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has required and continues to require significant capital expenditures in accordance with the compliance schedule established by the USCG in 33 CFR 151 to complete the installation of the approved system on those existing vessels that require a system in order to comply with the BWMS regulations. During 2024, the Company completed installation of n approved BWMS on the last such barge currently in its fleet.</w:t>
      </w:r>
    </w:p>
    <w:p>
      <w:pPr>
        <w:spacing w:after="0" w:line="16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Financial Responsibility Requirement. </w:t>
      </w:r>
      <w:r>
        <w:rPr>
          <w:rFonts w:ascii="Times New Roman" w:cs="Times New Roman" w:eastAsia="Times New Roman" w:hAnsi="Times New Roman"/>
          <w:sz w:val="20"/>
          <w:szCs w:val="20"/>
          <w:color w:val="auto"/>
        </w:rPr>
        <w:t>Commencing with the Federal Water Pollution Control Act of 1972, as amended, vessels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300 gross tons 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 requirement, and the Company has fully complied with this requirement since its inception. The States of Alaska, California and Washington have implemented state financial responsibility requirements, and each of them now require a COFR, but the requirement for Washington is satisfied through the Company’s insurance program. The Company does not foresee any current or future difficulty in maintaining the COFR certificates or meeting financial responsibility requirements under current federal or state rules.</w:t>
      </w:r>
    </w:p>
    <w:p>
      <w:pPr>
        <w:spacing w:after="0" w:line="166"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Clean Air Regulations. </w:t>
      </w:r>
      <w:r>
        <w:rPr>
          <w:rFonts w:ascii="Times New Roman" w:cs="Times New Roman" w:eastAsia="Times New Roman" w:hAnsi="Times New Roman"/>
          <w:sz w:val="20"/>
          <w:szCs w:val="20"/>
          <w:color w:val="auto"/>
        </w:rPr>
        <w:t>The Federal Clean Air Act of 1979 (“CAA”) requires states to draft State Implementation Plans (“SIPs”)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National Ambient Air Quality Standards designed to reduce atmospheric pollution for six common air pollutants to levels mandated by this act. The EPA designates areas in the United States as meeting or not meeting the standards. Several SIPs implement the regulation of barge loading and discharging emissions at waterfront facilities as a measure to meet the CAA standard. The implementation of these regulations requires a reduction of hydrocarbon emissions released into the atmosphere during the loading of most petroleum products and the degassing and cleaning of barges for maintenance or change of cargo. These regulations require vessel operators that operate in states with areas of nonattainment of air quality standards under the CAA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KDS, particularly in its oil and gas equipment service and manufacturing and the power generation businesses, must closely adhere to federal regulatory requirements relating to emissions for stationary and non-road engines. Although a risk exists that new regulations could requir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172" w:lineRule="exact"/>
        <w:rPr>
          <w:sz w:val="20"/>
          <w:szCs w:val="20"/>
          <w:color w:val="auto"/>
        </w:rPr>
      </w:pPr>
    </w:p>
    <w:p>
      <w:pPr>
        <w:jc w:val="both"/>
        <w:ind w:firstLine="365"/>
        <w:spacing w:after="0" w:line="243" w:lineRule="auto"/>
        <w:rPr>
          <w:sz w:val="20"/>
          <w:szCs w:val="20"/>
          <w:color w:val="auto"/>
        </w:rPr>
      </w:pPr>
      <w:r>
        <w:rPr>
          <w:rFonts w:ascii="Times New Roman" w:cs="Times New Roman" w:eastAsia="Times New Roman" w:hAnsi="Times New Roman"/>
          <w:sz w:val="20"/>
          <w:szCs w:val="20"/>
          <w:color w:val="auto"/>
        </w:rPr>
        <w:t>In addition, the Company is subject to environmental laws and regulations that establish engine emission standards under the CAA that permits California to establish new engine emission standards and requirements for commercial harbor crafts operating in the state, subject to EPA authorization. The California Air Resources Board (“CARB”) has adopted amendments to its Commercial Harbor Craft rules, and in January 2025 the EPA granted partial authorization for those amendments. Industry groups have filed petitions for judicial review challenging EPA’s January 2025 authorization of CARB’s Commercial Harbor Craft regulations. To the extent that the authorized portion of the regulations survive legal challenges and become effective, and the Company is unable to obtain extensions or other relief on applicable vessels that are utilized in California waters now or in the future, the Company may not be permitted to utilize those vessels in California waters without performing major modifications. At this time, the Company does not believe such impact will be material to its business, but to the extent such rules may apply to other vessels in the Company’s fleet or other states adopt similar measures, it could result in increased compliance costs, additional operating restrictions or changes in demand for the Company’s services, which could have a material adverse effect on the Company’s business, financial condition and results of operations.</w:t>
      </w:r>
    </w:p>
    <w:p>
      <w:pPr>
        <w:sectPr>
          <w:pgSz w:w="12240" w:h="15840" w:orient="portrait"/>
          <w:cols w:equalWidth="0" w:num="1">
            <w:col w:w="10800"/>
          </w:cols>
          <w:pgMar w:left="720" w:top="929" w:right="720" w:bottom="187"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10800"/>
          </w:cols>
          <w:pgMar w:left="720" w:top="929" w:right="720" w:bottom="187" w:gutter="0" w:footer="0" w:header="0"/>
          <w:type w:val="continuous"/>
        </w:sectPr>
      </w:pPr>
    </w:p>
    <w:bookmarkStart w:id="29" w:name="page30"/>
    <w:bookmarkEnd w:id="29"/>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Contingency Plan Requirement. </w:t>
      </w:r>
      <w:r>
        <w:rPr>
          <w:rFonts w:ascii="Times New Roman" w:cs="Times New Roman" w:eastAsia="Times New Roman" w:hAnsi="Times New Roman"/>
          <w:sz w:val="20"/>
          <w:szCs w:val="20"/>
          <w:color w:val="auto"/>
        </w:rPr>
        <w:t>The OPA and several state statutes of similar intent require the majority of the vessels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terminals operated by the 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156" w:lineRule="exact"/>
        <w:rPr>
          <w:sz w:val="20"/>
          <w:szCs w:val="20"/>
          <w:color w:val="auto"/>
        </w:rPr>
      </w:pPr>
    </w:p>
    <w:p>
      <w:pPr>
        <w:jc w:val="both"/>
        <w:ind w:firstLine="37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Occupational Health Regulations. </w:t>
      </w:r>
      <w:r>
        <w:rPr>
          <w:rFonts w:ascii="Times New Roman" w:cs="Times New Roman" w:eastAsia="Times New Roman" w:hAnsi="Times New Roman"/>
          <w:sz w:val="20"/>
          <w:szCs w:val="20"/>
          <w:color w:val="auto"/>
        </w:rPr>
        <w:t>The Company’s inspected vessel operations are primarily regulated by the USCG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occupational health standards. Uninspected vessel operations, the Company’s shore-based personnel, and employees in the Company’s KDS segment are subject to OSHA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16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Insurance </w:t>
      </w:r>
      <w:r>
        <w:rPr>
          <w:rFonts w:ascii="Times New Roman" w:cs="Times New Roman" w:eastAsia="Times New Roman" w:hAnsi="Times New Roman"/>
          <w:sz w:val="20"/>
          <w:szCs w:val="20"/>
          <w:color w:val="auto"/>
        </w:rPr>
        <w:t>The Company’s marine transportation operations are subject to the hazards associated with operating vessels carrying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large volumes of bulk cargo in a marine environment. These hazards include the risk of loss of or damage to the Company’s vessels damage to third parties as a result of collision, fire or explosion, adverse weather conditions, loss or contamination of cargo, personal injury of employees and third parties, and pollution and other environmental damages. The Company maintains hull, liability, general liability, workers compensation and pollution liability insurance coverage against these hazards. The Company also maintains insurance to address certain liabilities arising from KDS operating activities. For shipyard operations, the Company has ship repairer’s liability and builder’s risk insurance. The Company uses a Texas domiciled wholly owned insurance subsidiary, Adaptive KRM, LLC, to provide cost effective risk transfer options to insure certain exposures of the Company and certain of its subsidiaries in KMT and KDS.</w:t>
      </w:r>
    </w:p>
    <w:p>
      <w:pPr>
        <w:spacing w:after="0" w:line="16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Environmental Protection </w:t>
      </w:r>
      <w:r>
        <w:rPr>
          <w:rFonts w:ascii="Times New Roman" w:cs="Times New Roman" w:eastAsia="Times New Roman" w:hAnsi="Times New Roman"/>
          <w:sz w:val="20"/>
          <w:szCs w:val="20"/>
          <w:color w:val="auto"/>
        </w:rPr>
        <w:t>The Company utilizes several programs to further its commitment to environmental responsibility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its operations. Environmental compliance audits, performed with internal and external resources, are performed regularly on the Company's operations. Additionally, the Company employs third party expertise to conduct safety performance, safety management system, and environmental audits on its barge cleaning and shipyard vendors. The Company participates in the American Waterways Operators Responsible Carrier program, which drives continuous improvement towards reducing the barge industry’s impact on the environment. It is also a member of the Blue Sky Maritime Coalition and other organizations focused on reducing greenhouse gas emissions.</w:t>
      </w:r>
    </w:p>
    <w:p>
      <w:pPr>
        <w:spacing w:after="0" w:line="16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Safety. </w:t>
      </w:r>
      <w:r>
        <w:rPr>
          <w:rFonts w:ascii="Times New Roman" w:cs="Times New Roman" w:eastAsia="Times New Roman" w:hAnsi="Times New Roman"/>
          <w:sz w:val="20"/>
          <w:szCs w:val="20"/>
          <w:color w:val="auto"/>
        </w:rPr>
        <w:t>The Company manages its exposure to the hazards associated with its business through safety, training and preventive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maintenance efforts. The Company emphasizes its safety commitment through programs oriented toward extensive monitoring of safety performance for the purpose of identifying trends and initiating corrective action, and for continuously improving employe safety behavior and performance.</w:t>
      </w:r>
    </w:p>
    <w:p>
      <w:pPr>
        <w:spacing w:after="0" w:line="154"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Training. </w:t>
      </w:r>
      <w:r>
        <w:rPr>
          <w:rFonts w:ascii="Times New Roman" w:cs="Times New Roman" w:eastAsia="Times New Roman" w:hAnsi="Times New Roman"/>
          <w:sz w:val="20"/>
          <w:szCs w:val="20"/>
          <w:color w:val="auto"/>
        </w:rPr>
        <w:t>The Company believes that among the major elements of a successful and productive workforce are effective training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programs. The Company also believes that training in the proper performance of a job enhances both the safety and quality of th service provided. New technology, regulatory compliance, personnel safety, quality and environmental concerns create additional demands for training. Refer to Human Capital below for further discussion regarding training programs the Company has developed and instituted.</w:t>
      </w:r>
    </w:p>
    <w:p>
      <w:pPr>
        <w:spacing w:after="0" w:line="158" w:lineRule="exact"/>
        <w:rPr>
          <w:sz w:val="20"/>
          <w:szCs w:val="20"/>
          <w:color w:val="auto"/>
        </w:rPr>
      </w:pPr>
    </w:p>
    <w:p>
      <w:pPr>
        <w:jc w:val="both"/>
        <w:ind w:firstLine="37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Quality. </w:t>
      </w:r>
      <w:r>
        <w:rPr>
          <w:rFonts w:ascii="Times New Roman" w:cs="Times New Roman" w:eastAsia="Times New Roman" w:hAnsi="Times New Roman"/>
          <w:sz w:val="20"/>
          <w:szCs w:val="20"/>
          <w:color w:val="auto"/>
        </w:rPr>
        <w:t>Kirby Inland Marine has made a substantial commitment to the implementation, maintenance, and improvement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quality assurance systems. Kirby Offshore Marine is certified under ABS ISM standards. These Quality Assurance Systems and</w:t>
      </w:r>
    </w:p>
    <w:p>
      <w:pPr>
        <w:spacing w:after="0" w:line="1" w:lineRule="exact"/>
        <w:rPr>
          <w:sz w:val="20"/>
          <w:szCs w:val="20"/>
          <w:color w:val="auto"/>
        </w:rPr>
      </w:pPr>
    </w:p>
    <w:p>
      <w:pPr>
        <w:jc w:val="both"/>
        <w:ind w:firstLine="7"/>
        <w:spacing w:after="0" w:line="248" w:lineRule="auto"/>
        <w:rPr>
          <w:sz w:val="20"/>
          <w:szCs w:val="20"/>
          <w:color w:val="auto"/>
        </w:rPr>
      </w:pPr>
      <w:r>
        <w:rPr>
          <w:rFonts w:ascii="Times New Roman" w:cs="Times New Roman" w:eastAsia="Times New Roman" w:hAnsi="Times New Roman"/>
          <w:sz w:val="20"/>
          <w:szCs w:val="20"/>
          <w:color w:val="auto"/>
        </w:rPr>
        <w:t>certification have enabled both shore and vessel personnel to effectively manage the changes which occur in the working environment, as well as enhancing the Company’s safety and environmental performance.</w:t>
      </w:r>
    </w:p>
    <w:p>
      <w:pPr>
        <w:spacing w:after="0" w:line="20" w:lineRule="exact"/>
        <w:rPr>
          <w:sz w:val="20"/>
          <w:szCs w:val="20"/>
          <w:color w:val="auto"/>
        </w:r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0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Employment. </w:t>
      </w:r>
      <w:r>
        <w:rPr>
          <w:rFonts w:ascii="Times New Roman" w:cs="Times New Roman" w:eastAsia="Times New Roman" w:hAnsi="Times New Roman"/>
          <w:sz w:val="20"/>
          <w:szCs w:val="20"/>
          <w:color w:val="auto"/>
        </w:rPr>
        <w:t>The Company has approximately 5,233 employees, the large majority of whom are in the United States. The large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majority of non-vessel employees work full-time. Vessel employees work varying schedules according to their assignments. The Company has approximately 107 general corporate employees. The Company supports its employees by providing competitive pay and benefits, training, and a respectful and inclusive culture.</w:t>
      </w:r>
    </w:p>
    <w:p>
      <w:pPr>
        <w:spacing w:after="0" w:line="15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KMT has approximately 3,054 employees, of which approximately 2,337 are vessel crew members. None of the segment’s inland operations are subject to collective bargaining agreements. The segment’s coastal operations include approximately 436 vessel employees, many of which are subject to collective bargaining agreements in certain geographic areas. Approximately 214 Kirby Offshore Marine vessel crew members are subject to a collective bargaining agreement with the Richmond Terrace Bargaining Unit in effect through August 31, 2026. In addition, approximately 125 vessel crew members of Penn Maritime Inc., a wholly owned</w:t>
      </w:r>
    </w:p>
    <w:p>
      <w:pPr>
        <w:sectPr>
          <w:pgSz w:w="12240" w:h="15840" w:orient="portrait"/>
          <w:cols w:equalWidth="0" w:num="1">
            <w:col w:w="10800"/>
          </w:cols>
          <w:pgMar w:left="720" w:top="930" w:right="720" w:bottom="21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w:t>
      </w:r>
    </w:p>
    <w:p>
      <w:pPr>
        <w:sectPr>
          <w:pgSz w:w="12240" w:h="15840" w:orient="portrait"/>
          <w:cols w:equalWidth="0" w:num="1">
            <w:col w:w="10800"/>
          </w:cols>
          <w:pgMar w:left="720" w:top="930" w:right="720" w:bottom="210" w:gutter="0" w:footer="0" w:header="0"/>
          <w:type w:val="continuous"/>
        </w:sectPr>
      </w:pPr>
    </w:p>
    <w:bookmarkStart w:id="30" w:name="page31"/>
    <w:bookmarkEnd w:id="30"/>
    <w:p>
      <w:pPr>
        <w:jc w:val="both"/>
        <w:ind w:firstLine="10"/>
        <w:spacing w:after="0" w:line="278" w:lineRule="auto"/>
        <w:rPr>
          <w:sz w:val="20"/>
          <w:szCs w:val="20"/>
          <w:color w:val="auto"/>
        </w:rPr>
      </w:pPr>
      <w:r>
        <w:rPr>
          <w:rFonts w:ascii="Times New Roman" w:cs="Times New Roman" w:eastAsia="Times New Roman" w:hAnsi="Times New Roman"/>
          <w:sz w:val="20"/>
          <w:szCs w:val="20"/>
          <w:color w:val="auto"/>
        </w:rPr>
        <w:t>subsidiary of Kirby Offshore Marine, are represented by the Seafarers International Union under a collective bargaining agreement in effect through April 30, 2027.</w:t>
      </w:r>
    </w:p>
    <w:p>
      <w:pPr>
        <w:spacing w:after="0" w:line="1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KDS has approximately 2,072 employees. None of the United Holdings and Kirby Engine Systems operations are subject to collective bargaining agreements. Approximately 48 S&amp;S employees in New Jersey are subject to a collective bargaining agreement with the Local 15C, International Union of Operating Engineers, AFL-CIO that expires in October 2028. The remaining S&amp;S employees are not subject to collective bargaining agreements.</w:t>
      </w:r>
    </w:p>
    <w:p>
      <w:pPr>
        <w:spacing w:after="0" w:line="15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Training and Development. </w:t>
      </w:r>
      <w:r>
        <w:rPr>
          <w:rFonts w:ascii="Times New Roman" w:cs="Times New Roman" w:eastAsia="Times New Roman" w:hAnsi="Times New Roman"/>
          <w:sz w:val="20"/>
          <w:szCs w:val="20"/>
          <w:color w:val="auto"/>
        </w:rPr>
        <w:t>The Company strives to provide its employees with a rewarding work environment, including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opportunity for success and an opportunity for personal and professional development. The development of its people is a key fa ctor in the Company’s employee retention and satisfaction. Its technical and skill training has always been a differentiator and has facilitated the recruitment of new trainees.</w:t>
      </w:r>
    </w:p>
    <w:p>
      <w:pPr>
        <w:spacing w:after="0" w:line="15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For the marine business, the Company’s training facility includes state-of-the-art equipment and instruction aids, including a full bridge wheelhouse simulator, a working towboat, two tank barges, and a tank barge simulator for tankermen training. During 2025 approximately 2,017 certificates were issued for the completion of courses at the training facility, of which approximately 582 wer USCG approved classes and the balance were employee development and Company required classes, including leadership, communication, and navigation courses. The Company uses the Seaman’s Church Institute as an additional training resource for its wheelhouse crewmembers. The marine segment provides a clear career progression for vessel personnel from entry level deckhand t captain and regularly reviews promotions from one level to another.</w:t>
      </w:r>
    </w:p>
    <w:p>
      <w:pPr>
        <w:spacing w:after="0" w:line="160" w:lineRule="exact"/>
        <w:rPr>
          <w:sz w:val="20"/>
          <w:szCs w:val="20"/>
          <w:color w:val="auto"/>
        </w:rPr>
      </w:pPr>
    </w:p>
    <w:p>
      <w:pPr>
        <w:jc w:val="both"/>
        <w:ind w:firstLine="363"/>
        <w:spacing w:after="0" w:line="259" w:lineRule="auto"/>
        <w:rPr>
          <w:sz w:val="20"/>
          <w:szCs w:val="20"/>
          <w:color w:val="auto"/>
        </w:rPr>
      </w:pPr>
      <w:r>
        <w:rPr>
          <w:rFonts w:ascii="Times New Roman" w:cs="Times New Roman" w:eastAsia="Times New Roman" w:hAnsi="Times New Roman"/>
          <w:sz w:val="20"/>
          <w:szCs w:val="20"/>
          <w:color w:val="auto"/>
        </w:rPr>
        <w:t>In KDS, the Company operates regional training centers providing instructor-led, skill-based training classes to certify its technicians to work on diesel engines, transmissions, and power generation equipment. KDS has multiple career progressions within its numerous businesses, and offers an apprentice program at various locations for technical roles.</w:t>
      </w:r>
    </w:p>
    <w:p>
      <w:pPr>
        <w:spacing w:after="0" w:line="14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Company's leadership and managerial training includes an online training curriculum that is available to both supervisory employees and those employees that aspire to move into such roles in the future. It includes a series of classes focused on management essentials which provide in-depth education in specific subjects such as leadership, strategic thinking, coaching and people development, decision making, problem solving, and communication.</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addition, the Company facilitates many training courses that cover a range of topics that enhance specific skill sets, increas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productivity, and educate employees about safety and team morale across both business segments. Training classes include</w:t>
      </w:r>
    </w:p>
    <w:p>
      <w:pPr>
        <w:spacing w:after="0"/>
        <w:rPr>
          <w:sz w:val="20"/>
          <w:szCs w:val="20"/>
          <w:color w:val="auto"/>
        </w:rPr>
      </w:pPr>
      <w:r>
        <w:rPr>
          <w:rFonts w:ascii="Times New Roman" w:cs="Times New Roman" w:eastAsia="Times New Roman" w:hAnsi="Times New Roman"/>
          <w:sz w:val="20"/>
          <w:szCs w:val="20"/>
          <w:color w:val="auto"/>
        </w:rPr>
        <w:t>environmental, health, and safety classes, compliance, leadership, and general business skills related courses. Compliance topi</w:t>
      </w:r>
    </w:p>
    <w:p>
      <w:pPr>
        <w:spacing w:after="0"/>
        <w:rPr>
          <w:sz w:val="20"/>
          <w:szCs w:val="20"/>
          <w:color w:val="auto"/>
        </w:rPr>
      </w:pPr>
      <w:r>
        <w:rPr>
          <w:rFonts w:ascii="Times New Roman" w:cs="Times New Roman" w:eastAsia="Times New Roman" w:hAnsi="Times New Roman"/>
          <w:sz w:val="20"/>
          <w:szCs w:val="20"/>
          <w:color w:val="auto"/>
        </w:rPr>
        <w:t>include anti-corruption and human rights training, cybersecurity awareness, business ethics, compliance, and promoting a respectful</w:t>
      </w:r>
    </w:p>
    <w:p>
      <w:pPr>
        <w:spacing w:after="0"/>
        <w:rPr>
          <w:sz w:val="20"/>
          <w:szCs w:val="20"/>
          <w:color w:val="auto"/>
        </w:rPr>
      </w:pPr>
      <w:r>
        <w:rPr>
          <w:rFonts w:ascii="Times New Roman" w:cs="Times New Roman" w:eastAsia="Times New Roman" w:hAnsi="Times New Roman"/>
          <w:sz w:val="20"/>
          <w:szCs w:val="20"/>
          <w:color w:val="auto"/>
        </w:rPr>
        <w:t>culture.</w:t>
      </w:r>
    </w:p>
    <w:p>
      <w:pPr>
        <w:spacing w:after="0" w:line="172" w:lineRule="exact"/>
        <w:rPr>
          <w:sz w:val="20"/>
          <w:szCs w:val="20"/>
          <w:color w:val="auto"/>
        </w:rPr>
      </w:pPr>
    </w:p>
    <w:p>
      <w:pPr>
        <w:jc w:val="both"/>
        <w:ind w:firstLine="373"/>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Core Values. </w:t>
      </w:r>
      <w:r>
        <w:rPr>
          <w:rFonts w:ascii="Times New Roman" w:cs="Times New Roman" w:eastAsia="Times New Roman" w:hAnsi="Times New Roman"/>
          <w:sz w:val="20"/>
          <w:szCs w:val="20"/>
          <w:color w:val="auto"/>
        </w:rPr>
        <w:t>Through its core values, the Company promotes a culture of respect, knowledge and teamwork which contributes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strong workforce that meets its customer’s expectations and business objectives. The Company works diligently to attract the best talent from a broad range of resources to meet the current and future demands of its business. The Company has established relationships with high schools, trade schools, world-class universities, professional associations and industry groups to proactively attract talent.</w:t>
      </w:r>
    </w:p>
    <w:p>
      <w:pPr>
        <w:spacing w:after="0" w:line="157"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Succession Planning. </w:t>
      </w:r>
      <w:r>
        <w:rPr>
          <w:rFonts w:ascii="Times New Roman" w:cs="Times New Roman" w:eastAsia="Times New Roman" w:hAnsi="Times New Roman"/>
          <w:sz w:val="20"/>
          <w:szCs w:val="20"/>
          <w:color w:val="auto"/>
        </w:rPr>
        <w:t>Succession planning is a key responsibility of the CEO and the Chief Human Resources Officer and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critical annual process for the Company’s senior management and its Board. Senior management reviews their succession plans regularly throughout the year and provides the Board an in-depth review on an annual basis. This process looks at qualification performance, time in role, readiness to advance, and required development. The Board engages with many of these individuals through presentations on a variety of projects and subjects. The development initiatives for those identified in the succession plan may comprise post graduate work, targeted development around strengthening a needed competency, or additional industry exposure.</w:t>
      </w:r>
    </w:p>
    <w:p>
      <w:pPr>
        <w:spacing w:after="0" w:line="15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Culture, Engagement, and Social Responsibility. </w:t>
      </w:r>
      <w:r>
        <w:rPr>
          <w:rFonts w:ascii="Times New Roman" w:cs="Times New Roman" w:eastAsia="Times New Roman" w:hAnsi="Times New Roman"/>
          <w:sz w:val="20"/>
          <w:szCs w:val="20"/>
          <w:color w:val="auto"/>
        </w:rPr>
        <w:t>The Company recognizes the importance of employee engagement and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implemented a regular process of surveying its employees to obtain their feedback on both what is working well and areas of improvement. One of the main take-aways from the latest survey was 90% of employees surveyed agree that Kirby is committed to Employee Safety. In addition, employees believe the Company operates with strong values, has a strong safety culture, and would recommend working for the Company to others.</w:t>
      </w:r>
    </w:p>
    <w:p>
      <w:pPr>
        <w:spacing w:after="0" w:line="15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provides its employees with a rewarding work environment, which includes access to resources for personal and professional development. The Company often participates in community organizations, service projects and matches employee charitable contributions. Through the Kirby Disaster Relief Fund, the Company supports employees in need following natural disasters and other qualified hardships. The Company provides employees with tuition reimbursement and college scholarships for the children of non-executive employees. In addition to standard health and welfare benefits, the Company offers wellness incentives and initiatives that encourages employees to receive an annual wellness checkup and age appropriate exams.</w:t>
      </w:r>
    </w:p>
    <w:p>
      <w:pPr>
        <w:sectPr>
          <w:pgSz w:w="12240" w:h="15840" w:orient="portrait"/>
          <w:cols w:equalWidth="0" w:num="1">
            <w:col w:w="10800"/>
          </w:cols>
          <w:pgMar w:left="720" w:top="929" w:right="720" w:bottom="187"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10800"/>
          </w:cols>
          <w:pgMar w:left="720" w:top="929" w:right="720" w:bottom="187"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Information about the Company’s Executive Officers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executive officers of the Company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60"/>
        </w:trPr>
        <w:tc>
          <w:tcPr>
            <w:tcW w:w="2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2580" w:type="dxa"/>
            <w:vAlign w:val="bottom"/>
            <w:vMerge w:val="restart"/>
          </w:tcPr>
          <w:p>
            <w:pPr>
              <w:spacing w:after="0"/>
              <w:rPr>
                <w:sz w:val="5"/>
                <w:szCs w:val="5"/>
                <w:color w:val="auto"/>
              </w:rPr>
            </w:pPr>
          </w:p>
        </w:tc>
        <w:tc>
          <w:tcPr>
            <w:tcW w:w="4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Positions and Offices</w:t>
            </w:r>
          </w:p>
        </w:tc>
        <w:tc>
          <w:tcPr>
            <w:tcW w:w="0" w:type="dxa"/>
            <w:vAlign w:val="bottom"/>
          </w:tcPr>
          <w:p>
            <w:pPr>
              <w:spacing w:after="0"/>
              <w:rPr>
                <w:sz w:val="1"/>
                <w:szCs w:val="1"/>
                <w:color w:val="auto"/>
              </w:rPr>
            </w:pPr>
          </w:p>
        </w:tc>
      </w:tr>
      <w:tr>
        <w:trPr>
          <w:trHeight w:val="143"/>
        </w:trPr>
        <w:tc>
          <w:tcPr>
            <w:tcW w:w="2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EAEAEA"/>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89"/>
              </w:rPr>
              <w:t>Age</w:t>
            </w:r>
          </w:p>
        </w:tc>
        <w:tc>
          <w:tcPr>
            <w:tcW w:w="3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EAEAEA"/>
            </w:tcBorders>
          </w:tcPr>
          <w:p>
            <w:pPr>
              <w:spacing w:after="0"/>
              <w:rPr>
                <w:sz w:val="12"/>
                <w:szCs w:val="12"/>
                <w:color w:val="auto"/>
              </w:rPr>
            </w:pPr>
          </w:p>
        </w:tc>
        <w:tc>
          <w:tcPr>
            <w:tcW w:w="2580" w:type="dxa"/>
            <w:vAlign w:val="bottom"/>
            <w:tcBorders>
              <w:bottom w:val="single" w:sz="8" w:color="auto"/>
            </w:tcBorders>
            <w:vMerge w:val="continue"/>
          </w:tcPr>
          <w:p>
            <w:pPr>
              <w:spacing w:after="0"/>
              <w:rPr>
                <w:sz w:val="12"/>
                <w:szCs w:val="12"/>
                <w:color w:val="auto"/>
              </w:rPr>
            </w:pPr>
          </w:p>
        </w:tc>
        <w:tc>
          <w:tcPr>
            <w:tcW w:w="4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52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David W. Grzebinski</w:t>
            </w:r>
          </w:p>
        </w:tc>
        <w:tc>
          <w:tcPr>
            <w:tcW w:w="16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99"/>
                <w:shd w:val="clear" w:color="auto" w:fill="EAEAEA"/>
              </w:rPr>
              <w:t>64</w:t>
            </w:r>
          </w:p>
        </w:tc>
        <w:tc>
          <w:tcPr>
            <w:tcW w:w="38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258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Chief Executive Officer</w:t>
            </w:r>
          </w:p>
        </w:tc>
        <w:tc>
          <w:tcPr>
            <w:tcW w:w="43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Christian G. O’Neil</w:t>
            </w: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President and Chief Operating Officer</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Raj Kumar</w:t>
            </w:r>
          </w:p>
        </w:tc>
        <w:tc>
          <w:tcPr>
            <w:tcW w:w="560" w:type="dxa"/>
            <w:vAlign w:val="bottom"/>
            <w:tcBorders>
              <w:bottom w:val="single" w:sz="8" w:color="EAEAEA"/>
            </w:tcBorders>
            <w:gridSpan w:val="2"/>
            <w:shd w:val="clear" w:color="auto" w:fill="EAEAEA"/>
          </w:tcPr>
          <w:p>
            <w:pPr>
              <w:spacing w:after="0"/>
              <w:rPr>
                <w:sz w:val="18"/>
                <w:szCs w:val="18"/>
                <w:color w:val="auto"/>
              </w:rPr>
            </w:pPr>
          </w:p>
        </w:tc>
        <w:tc>
          <w:tcPr>
            <w:tcW w:w="26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9"/>
                <w:shd w:val="clear" w:color="auto" w:fill="EAEAEA"/>
              </w:rPr>
              <w:t>53</w:t>
            </w:r>
          </w:p>
        </w:tc>
        <w:tc>
          <w:tcPr>
            <w:tcW w:w="38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6900" w:type="dxa"/>
            <w:vAlign w:val="bottom"/>
            <w:tcBorders>
              <w:bottom w:val="single" w:sz="8" w:color="EAEAEA"/>
            </w:tcBorders>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Executive Vice President and Chief Financial Officer</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Amy D. Husted</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Executive Vice President, General Counsel and Secretary</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Ronald A. Dragg</w:t>
            </w:r>
          </w:p>
        </w:tc>
        <w:tc>
          <w:tcPr>
            <w:tcW w:w="560" w:type="dxa"/>
            <w:vAlign w:val="bottom"/>
            <w:tcBorders>
              <w:bottom w:val="single" w:sz="8" w:color="EAEAEA"/>
            </w:tcBorders>
            <w:gridSpan w:val="2"/>
            <w:shd w:val="clear" w:color="auto" w:fill="EAEAEA"/>
          </w:tcPr>
          <w:p>
            <w:pPr>
              <w:spacing w:after="0"/>
              <w:rPr>
                <w:sz w:val="18"/>
                <w:szCs w:val="18"/>
                <w:color w:val="auto"/>
              </w:rPr>
            </w:pPr>
          </w:p>
        </w:tc>
        <w:tc>
          <w:tcPr>
            <w:tcW w:w="26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9"/>
                <w:shd w:val="clear" w:color="auto" w:fill="EAEAEA"/>
              </w:rPr>
              <w:t>62</w:t>
            </w:r>
          </w:p>
        </w:tc>
        <w:tc>
          <w:tcPr>
            <w:tcW w:w="38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6900" w:type="dxa"/>
            <w:vAlign w:val="bottom"/>
            <w:tcBorders>
              <w:bottom w:val="single" w:sz="8" w:color="EAEAEA"/>
            </w:tcBorders>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Vice President, Controller and Assistant Secretary</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Matthew P. Kerin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President – Investor Relations and Treasurer</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Jennifer N. McCauley</w:t>
            </w:r>
          </w:p>
        </w:tc>
        <w:tc>
          <w:tcPr>
            <w:tcW w:w="560" w:type="dxa"/>
            <w:vAlign w:val="bottom"/>
            <w:tcBorders>
              <w:bottom w:val="single" w:sz="8" w:color="EAEAEA"/>
            </w:tcBorders>
            <w:gridSpan w:val="2"/>
            <w:shd w:val="clear" w:color="auto" w:fill="EAEAEA"/>
          </w:tcPr>
          <w:p>
            <w:pPr>
              <w:spacing w:after="0"/>
              <w:rPr>
                <w:sz w:val="18"/>
                <w:szCs w:val="18"/>
                <w:color w:val="auto"/>
              </w:rPr>
            </w:pPr>
          </w:p>
        </w:tc>
        <w:tc>
          <w:tcPr>
            <w:tcW w:w="26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9"/>
                <w:shd w:val="clear" w:color="auto" w:fill="EAEAEA"/>
              </w:rPr>
              <w:t>62</w:t>
            </w:r>
          </w:p>
        </w:tc>
        <w:tc>
          <w:tcPr>
            <w:tcW w:w="38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258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w w:val="99"/>
                <w:shd w:val="clear" w:color="auto" w:fill="EAEAEA"/>
              </w:rPr>
              <w:t>Chief Human Resources Officer</w:t>
            </w:r>
          </w:p>
        </w:tc>
        <w:tc>
          <w:tcPr>
            <w:tcW w:w="432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 P. Miller</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President and Chief Information Officer</w:t>
            </w:r>
          </w:p>
        </w:tc>
        <w:tc>
          <w:tcPr>
            <w:tcW w:w="0" w:type="dxa"/>
            <w:vAlign w:val="bottom"/>
          </w:tcPr>
          <w:p>
            <w:pPr>
              <w:spacing w:after="0"/>
              <w:rPr>
                <w:sz w:val="1"/>
                <w:szCs w:val="1"/>
                <w:color w:val="auto"/>
              </w:rPr>
            </w:pPr>
          </w:p>
        </w:tc>
      </w:tr>
      <w:tr>
        <w:trPr>
          <w:trHeight w:val="189"/>
        </w:trPr>
        <w:tc>
          <w:tcPr>
            <w:tcW w:w="2520" w:type="dxa"/>
            <w:vAlign w:val="bottom"/>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William M. Woodruff</w:t>
            </w:r>
          </w:p>
        </w:tc>
        <w:tc>
          <w:tcPr>
            <w:tcW w:w="560" w:type="dxa"/>
            <w:vAlign w:val="bottom"/>
            <w:gridSpan w:val="2"/>
            <w:shd w:val="clear" w:color="auto" w:fill="EAEAEA"/>
          </w:tcPr>
          <w:p>
            <w:pPr>
              <w:spacing w:after="0"/>
              <w:rPr>
                <w:sz w:val="16"/>
                <w:szCs w:val="16"/>
                <w:color w:val="auto"/>
              </w:rPr>
            </w:pPr>
          </w:p>
        </w:tc>
        <w:tc>
          <w:tcPr>
            <w:tcW w:w="260" w:type="dxa"/>
            <w:vAlign w:val="bottom"/>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9"/>
                <w:shd w:val="clear" w:color="auto" w:fill="EAEAEA"/>
              </w:rPr>
              <w:t>65</w:t>
            </w:r>
          </w:p>
        </w:tc>
        <w:tc>
          <w:tcPr>
            <w:tcW w:w="38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6900" w:type="dxa"/>
            <w:vAlign w:val="bottom"/>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Vice President – Public and Governmental Affairs</w:t>
            </w:r>
          </w:p>
        </w:tc>
        <w:tc>
          <w:tcPr>
            <w:tcW w:w="0" w:type="dxa"/>
            <w:vAlign w:val="bottom"/>
          </w:tcPr>
          <w:p>
            <w:pPr>
              <w:spacing w:after="0"/>
              <w:rPr>
                <w:sz w:val="1"/>
                <w:szCs w:val="1"/>
                <w:color w:val="auto"/>
              </w:rPr>
            </w:pPr>
          </w:p>
        </w:tc>
      </w:tr>
      <w:tr>
        <w:trPr>
          <w:trHeight w:val="41"/>
        </w:trPr>
        <w:tc>
          <w:tcPr>
            <w:tcW w:w="252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400" w:type="dxa"/>
            <w:vAlign w:val="bottom"/>
            <w:shd w:val="clear" w:color="auto" w:fill="EAEAEA"/>
          </w:tcPr>
          <w:p>
            <w:pPr>
              <w:spacing w:after="0"/>
              <w:rPr>
                <w:sz w:val="3"/>
                <w:szCs w:val="3"/>
                <w:color w:val="auto"/>
              </w:rPr>
            </w:pPr>
          </w:p>
        </w:tc>
        <w:tc>
          <w:tcPr>
            <w:tcW w:w="260" w:type="dxa"/>
            <w:vAlign w:val="bottom"/>
            <w:shd w:val="clear" w:color="auto" w:fill="EAEAEA"/>
          </w:tcPr>
          <w:p>
            <w:pPr>
              <w:spacing w:after="0"/>
              <w:rPr>
                <w:sz w:val="3"/>
                <w:szCs w:val="3"/>
                <w:color w:val="auto"/>
              </w:rPr>
            </w:pPr>
          </w:p>
        </w:tc>
        <w:tc>
          <w:tcPr>
            <w:tcW w:w="380" w:type="dxa"/>
            <w:vAlign w:val="bottom"/>
            <w:shd w:val="clear" w:color="auto" w:fill="EAEAEA"/>
          </w:tcPr>
          <w:p>
            <w:pPr>
              <w:spacing w:after="0"/>
              <w:rPr>
                <w:sz w:val="3"/>
                <w:szCs w:val="3"/>
                <w:color w:val="auto"/>
              </w:rPr>
            </w:pPr>
          </w:p>
        </w:tc>
        <w:tc>
          <w:tcPr>
            <w:tcW w:w="180" w:type="dxa"/>
            <w:vAlign w:val="bottom"/>
            <w:shd w:val="clear" w:color="auto" w:fill="EAEAEA"/>
          </w:tcPr>
          <w:p>
            <w:pPr>
              <w:spacing w:after="0"/>
              <w:rPr>
                <w:sz w:val="3"/>
                <w:szCs w:val="3"/>
                <w:color w:val="auto"/>
              </w:rPr>
            </w:pPr>
          </w:p>
        </w:tc>
        <w:tc>
          <w:tcPr>
            <w:tcW w:w="2580" w:type="dxa"/>
            <w:vAlign w:val="bottom"/>
            <w:shd w:val="clear" w:color="auto" w:fill="EAEAEA"/>
          </w:tcPr>
          <w:p>
            <w:pPr>
              <w:spacing w:after="0"/>
              <w:rPr>
                <w:sz w:val="3"/>
                <w:szCs w:val="3"/>
                <w:color w:val="auto"/>
              </w:rPr>
            </w:pPr>
          </w:p>
        </w:tc>
        <w:tc>
          <w:tcPr>
            <w:tcW w:w="4320" w:type="dxa"/>
            <w:vAlign w:val="bottom"/>
            <w:shd w:val="clear" w:color="auto" w:fill="EAEAEA"/>
          </w:tcPr>
          <w:p>
            <w:pPr>
              <w:spacing w:after="0"/>
              <w:rPr>
                <w:sz w:val="3"/>
                <w:szCs w:val="3"/>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20"/>
          <w:szCs w:val="20"/>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145"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David W. Grzebinski is a Chartered Financial Analyst and holds a Master of Business Administration degree from Tulane University and a degree in chemical engineering from the University of South Florida. He has served as Chief Executive Officer since April 2024. He served as President and Chief Executive Officer from April 2014 to April 2024.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operational and financial positions since 1988 with FMC Technologies Inc. (“FMC”), including Controller, Energy Services, Treasurer, and Director of Global SAP and Industry Relations. Prior to joining FMC, he was employed by Dow Chemical Company in manufacturing, engineering and financial roles.</w:t>
      </w:r>
    </w:p>
    <w:p>
      <w:pPr>
        <w:spacing w:after="0" w:line="162" w:lineRule="exact"/>
        <w:rPr>
          <w:sz w:val="20"/>
          <w:szCs w:val="20"/>
          <w:color w:val="auto"/>
        </w:rPr>
      </w:pPr>
    </w:p>
    <w:p>
      <w:pPr>
        <w:jc w:val="both"/>
        <w:ind w:firstLine="367"/>
        <w:spacing w:after="0" w:line="243" w:lineRule="auto"/>
        <w:rPr>
          <w:sz w:val="20"/>
          <w:szCs w:val="20"/>
          <w:color w:val="auto"/>
        </w:rPr>
      </w:pPr>
      <w:r>
        <w:rPr>
          <w:rFonts w:ascii="Times New Roman" w:cs="Times New Roman" w:eastAsia="Times New Roman" w:hAnsi="Times New Roman"/>
          <w:sz w:val="20"/>
          <w:szCs w:val="20"/>
          <w:color w:val="auto"/>
        </w:rPr>
        <w:t>Christian G. O’Neil holds a Master of Business Administration degree from Rice University, a doctorate of jurisprudence from Tulane University and a bachelor of arts degree from Southern Methodist University. He has served as President and Chief Operating Officer since April 2024, as President of Kirby Inland Marine and Kirby Offshore Marine since January 2018, as President of San Jac Marine, LLC since October 2018, and President of Kirby Offshore Wind, LLC since March 2021. He served as Executive Vice President and Chief Operating Officer of Kirby Inland Marine and Kirby Offshore Marine from May 2016 to January 2018. He also served as Executive Vice President – Commercial Operations of Kirby Inland Marine and Kirby Offshore Marine from April 2014 to May 2016, Vice President – Human Resources of the Company from May 2012 to April 2014, Vice President – Sales for Kirby Inland 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 which was subsequently merged into the predecessor of Kirby Inland Marine.</w:t>
      </w:r>
    </w:p>
    <w:p>
      <w:pPr>
        <w:spacing w:after="0" w:line="16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Raj Kumar is a member of CPA Australia and holds a Master of Business Administration degree from Columbia University in New York City and a Bachelor of Business in Accounting degree from Deakin University in Australia. He has served as Executive Vice President and Chief Financial Officer since November 2021. Prior to joining the Company, Mr. Kumar served as Vice President and Chief Financial Officer of Dril-Quip, Inc. from 2020 to 2021, Vice President and Chief Accounting Officer from 2019 to 2020 and Vice President and Treasurer from 2017 to 2019. Prior to joining Dril-Quip, he served as Vice President Finance at Frank</w:t>
      </w:r>
    </w:p>
    <w:p>
      <w:pPr>
        <w:spacing w:after="0" w:line="4" w:lineRule="exact"/>
        <w:rPr>
          <w:sz w:val="20"/>
          <w:szCs w:val="20"/>
          <w:color w:val="auto"/>
        </w:rPr>
      </w:pPr>
    </w:p>
    <w:p>
      <w:pPr>
        <w:ind w:right="40" w:hanging="4"/>
        <w:spacing w:after="0"/>
        <w:rPr>
          <w:sz w:val="20"/>
          <w:szCs w:val="20"/>
          <w:color w:val="auto"/>
        </w:rPr>
      </w:pPr>
      <w:r>
        <w:rPr>
          <w:rFonts w:ascii="Times New Roman" w:cs="Times New Roman" w:eastAsia="Times New Roman" w:hAnsi="Times New Roman"/>
          <w:sz w:val="20"/>
          <w:szCs w:val="20"/>
          <w:color w:val="auto"/>
        </w:rPr>
        <w:t>International from 2015 to 2017. Prior to that, he served as a segment controller at LyondellBasell and in Division CFO, treasury strategic planning and corporate development positions at FMC and Dell Inc.</w:t>
      </w:r>
    </w:p>
    <w:p>
      <w:pPr>
        <w:spacing w:after="0" w:line="20" w:lineRule="exact"/>
        <w:rPr>
          <w:sz w:val="20"/>
          <w:szCs w:val="20"/>
          <w:color w:val="auto"/>
        </w:rPr>
      </w:pPr>
    </w:p>
    <w:p>
      <w:pPr>
        <w:spacing w:after="0" w:line="143" w:lineRule="exact"/>
        <w:rPr>
          <w:sz w:val="20"/>
          <w:szCs w:val="20"/>
          <w:color w:val="auto"/>
        </w:rPr>
      </w:pPr>
    </w:p>
    <w:p>
      <w:pPr>
        <w:jc w:val="both"/>
        <w:ind w:firstLine="362"/>
        <w:spacing w:after="0" w:line="247" w:lineRule="auto"/>
        <w:rPr>
          <w:sz w:val="20"/>
          <w:szCs w:val="20"/>
          <w:color w:val="auto"/>
        </w:rPr>
      </w:pPr>
      <w:r>
        <w:rPr>
          <w:rFonts w:ascii="Times New Roman" w:cs="Times New Roman" w:eastAsia="Times New Roman" w:hAnsi="Times New Roman"/>
          <w:sz w:val="20"/>
          <w:szCs w:val="20"/>
          <w:color w:val="auto"/>
        </w:rPr>
        <w:t>Amy D. Husted holds a doctorate of jurisprudence from South Texas College of Law and a Bachelor of Science degree in political science from the University of Houston. She has served the Company as Executive Vice President, General Counsel and Secretary since July 2024. She also served as Vice President, General Counsel and Secretary from April 2019 to July 2024, Vice President and General Counsel from January 2017 to April 2019, Vice President – Legal from January 2008 to January 2017 and Corporate Counsel from November 1999 through December 2007. Prior to joining the Company, she served as Corporate Counsel of Hollywood Marine from 1996 to 1999 after joining Hollywood Marine in 1994.</w:t>
      </w:r>
    </w:p>
    <w:p>
      <w:pPr>
        <w:spacing w:after="0" w:line="16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Ronald A. Dragg is a Certified Public Accountant and holds a Master of Science in Accountancy degree from the University of Houston and a degree in finance from Texas A&amp;M University. He has served the Company as Vice President, Controller and Assistant Secretary since April 2014. He also served as Vice President and Controller from January 2007 to April 2014, as Controller from November 2002 to January 2007, Controller – Financial Reporting from January 1999 to October 2002, and Assistant Controller –</w:t>
      </w:r>
    </w:p>
    <w:p>
      <w:pPr>
        <w:sectPr>
          <w:pgSz w:w="12240" w:h="15840" w:orient="portrait"/>
          <w:cols w:equalWidth="0" w:num="1">
            <w:col w:w="10800"/>
          </w:cols>
          <w:pgMar w:left="720" w:top="926" w:right="720" w:bottom="187"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10800"/>
          </w:cols>
          <w:pgMar w:left="720" w:top="926" w:right="720" w:bottom="187" w:gutter="0" w:footer="0" w:header="0"/>
          <w:type w:val="continuous"/>
        </w:sectPr>
      </w:pPr>
    </w:p>
    <w:bookmarkStart w:id="32" w:name="page33"/>
    <w:bookmarkEnd w:id="32"/>
    <w:p>
      <w:pPr>
        <w:jc w:val="both"/>
        <w:ind w:hanging="4"/>
        <w:spacing w:after="0" w:line="278" w:lineRule="auto"/>
        <w:rPr>
          <w:sz w:val="20"/>
          <w:szCs w:val="20"/>
          <w:color w:val="auto"/>
        </w:rPr>
      </w:pPr>
      <w:r>
        <w:rPr>
          <w:rFonts w:ascii="Times New Roman" w:cs="Times New Roman" w:eastAsia="Times New Roman" w:hAnsi="Times New Roman"/>
          <w:sz w:val="20"/>
          <w:szCs w:val="20"/>
          <w:color w:val="auto"/>
        </w:rPr>
        <w:t>Financial Reporting from October 1996 to December 1998. Prior to joining the Company, he was employed by Baker Hughes Incorporated.</w:t>
      </w:r>
    </w:p>
    <w:p>
      <w:pPr>
        <w:spacing w:after="0" w:line="12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Matthew P. “Matt” Kerin holds a Master of Business Administration degree with a concentration in Finance and Energy from Rice University, a Master of Science degree in Finance from Texas A&amp;M University, and a Bachelor of Business Administration degree in Accounting from Texas A&amp;M University. He has served as Vice President, Investor Relations &amp; Treasurer since February 2026. Prior to joining the Company, he served as Vice President, Finance &amp; Treasurer for Coterra Energy (and its predecessor, Cabot Oil &amp; Gas) from 2019 to 2024. He previously held multiple leadership roles at Cabot Oil &amp; Gas, including Vice President &amp; Treasurer and Manager, Finance and Investor Relations. Earlier in his career, Mr. Kerin held finance and accounting positions across several industries, including investment banking with JP Morgan.</w:t>
      </w:r>
    </w:p>
    <w:p>
      <w:pPr>
        <w:spacing w:after="0" w:line="160" w:lineRule="exact"/>
        <w:rPr>
          <w:sz w:val="20"/>
          <w:szCs w:val="20"/>
          <w:color w:val="auto"/>
        </w:rPr>
      </w:pPr>
    </w:p>
    <w:p>
      <w:pPr>
        <w:jc w:val="both"/>
        <w:ind w:firstLine="364"/>
        <w:spacing w:after="0" w:line="245" w:lineRule="auto"/>
        <w:rPr>
          <w:sz w:val="20"/>
          <w:szCs w:val="20"/>
          <w:color w:val="auto"/>
        </w:rPr>
      </w:pPr>
      <w:r>
        <w:rPr>
          <w:rFonts w:ascii="Times New Roman" w:cs="Times New Roman" w:eastAsia="Times New Roman" w:hAnsi="Times New Roman"/>
          <w:sz w:val="20"/>
          <w:szCs w:val="20"/>
          <w:color w:val="auto"/>
        </w:rPr>
        <w:t>Jennifer N. “Jenny” McCauley holds a Master of Science in Human Development from the University of Texas at Dallas and Bachelor of Arts degree from Saint Mary’s College. She has served the Company as Chief Human Resources Officer since February 2025. Prior to joining the Company, she was a full-time consultant where she provided strategic planning and executive and leadership advisory support to a variety of clients. Prior to that, she served as Senior Vice President – Administration with Southwestern Energy Company (“Southwestern”) and was responsible for Human Resources, Supply Chain, Support Services, Real Estate, and Information Technology. Prior to joining Southwestern, she served in various roles in human resources for JP Morgan Chase, Aramark, and Hilton</w:t>
      </w:r>
    </w:p>
    <w:p>
      <w:pPr>
        <w:spacing w:after="0"/>
        <w:rPr>
          <w:sz w:val="20"/>
          <w:szCs w:val="20"/>
          <w:color w:val="auto"/>
        </w:rPr>
      </w:pPr>
      <w:r>
        <w:rPr>
          <w:rFonts w:ascii="Times New Roman" w:cs="Times New Roman" w:eastAsia="Times New Roman" w:hAnsi="Times New Roman"/>
          <w:sz w:val="20"/>
          <w:szCs w:val="20"/>
          <w:color w:val="auto"/>
        </w:rPr>
        <w:t>Hotels.</w:t>
      </w:r>
    </w:p>
    <w:p>
      <w:pPr>
        <w:spacing w:after="0" w:line="17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Scott P. Miller holds a Bachelor of Science in Management of Information Systems from Louisiana State University and a Master of Business Administration degree from the University of Houston. He has served as Vice President and Chief Information Officer since April 2019. Prior to joining the Company, he was employed by Key Energy Services, Inc. from May 2006 to March 2019, serving in various senior leadership roles including Managing Director of Strategy, Vice President and Chief Information Officer from March 2013 to December 2015 and as Senior Vice President, Operations Services and Chief Administrative Officer from January 2016 to March 2019.</w:t>
      </w:r>
    </w:p>
    <w:p>
      <w:pPr>
        <w:spacing w:after="0" w:line="160" w:lineRule="exact"/>
        <w:rPr>
          <w:sz w:val="20"/>
          <w:szCs w:val="20"/>
          <w:color w:val="auto"/>
        </w:rPr>
      </w:pPr>
    </w:p>
    <w:p>
      <w:pPr>
        <w:jc w:val="both"/>
        <w:ind w:firstLine="363"/>
        <w:spacing w:after="0" w:line="249" w:lineRule="auto"/>
        <w:rPr>
          <w:sz w:val="20"/>
          <w:szCs w:val="20"/>
          <w:color w:val="auto"/>
        </w:rPr>
      </w:pPr>
      <w:r>
        <w:rPr>
          <w:rFonts w:ascii="Times New Roman" w:cs="Times New Roman" w:eastAsia="Times New Roman" w:hAnsi="Times New Roman"/>
          <w:sz w:val="20"/>
          <w:szCs w:val="20"/>
          <w:color w:val="auto"/>
        </w:rPr>
        <w:t>William M. Woodruff holds a doctorate of jurisprudence from the University of Houston Law Center and a bachelor of science degree from Texas A&amp;M University. He has served as Vice President – Public and Governmental Affairs since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204"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0"/>
          <w:szCs w:val="20"/>
          <w:color w:val="auto"/>
        </w:rPr>
        <w:t>In addition to the other information set forth elsewhere in this annual report, 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Marine Transportation Segment Risk Factors</w:t>
      </w:r>
    </w:p>
    <w:p>
      <w:pPr>
        <w:spacing w:after="0" w:line="199"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The Inland Waterway infrastructure is aging and may result in increased costs and disruptions to KMT. </w:t>
      </w:r>
      <w:r>
        <w:rPr>
          <w:rFonts w:ascii="Times New Roman" w:cs="Times New Roman" w:eastAsia="Times New Roman" w:hAnsi="Times New Roman"/>
          <w:sz w:val="20"/>
          <w:szCs w:val="20"/>
          <w:color w:val="auto"/>
        </w:rPr>
        <w:t>Maintenance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United States inland 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Currently, 35% of the cost of new construction and major rehabilitation of locks and dams is paid by marine transportation companies through a 29 cent per gallon waterway user tax and the remaining 65% of waterway infrastructure and improvement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169"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The Company could be adversely impacted by a marine accident or spill event. </w:t>
      </w: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marine accident or spill event could close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portion of the inland waterway system or a coastal area of the United States for an extended period of time. Although statistically</w:t>
      </w:r>
    </w:p>
    <w:p>
      <w:pPr>
        <w:spacing w:after="0" w:line="1"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marine transportation is the safest means of surface transportation of bulk commodities, accidents do occur, both involving Company equipment and equipment owned by other marine operators.</w:t>
      </w:r>
    </w:p>
    <w:p>
      <w:pPr>
        <w:spacing w:after="0" w:line="20" w:lineRule="exact"/>
        <w:rPr>
          <w:sz w:val="20"/>
          <w:szCs w:val="20"/>
          <w:color w:val="auto"/>
        </w:rPr>
      </w:pPr>
    </w:p>
    <w:p>
      <w:pPr>
        <w:spacing w:after="0" w:line="144" w:lineRule="exact"/>
        <w:rPr>
          <w:sz w:val="20"/>
          <w:szCs w:val="20"/>
          <w:color w:val="auto"/>
        </w:rPr>
      </w:pPr>
    </w:p>
    <w:p>
      <w:pPr>
        <w:jc w:val="both"/>
        <w:ind w:firstLine="358"/>
        <w:spacing w:after="0" w:line="258" w:lineRule="auto"/>
        <w:rPr>
          <w:sz w:val="20"/>
          <w:szCs w:val="20"/>
          <w:color w:val="auto"/>
        </w:rPr>
      </w:pPr>
      <w:r>
        <w:rPr>
          <w:rFonts w:ascii="Times New Roman" w:cs="Times New Roman" w:eastAsia="Times New Roman" w:hAnsi="Times New Roman"/>
          <w:sz w:val="20"/>
          <w:szCs w:val="20"/>
          <w:color w:val="auto"/>
        </w:rPr>
        <w:t>The Company transports a wide variety of petrochemicals, black oil, refined petroleum products and agricultural chemicals throughout the Mississippi River System, on the Gulf Intracoastal Waterway, and coastwise along all three United States coasts. The Company manages its exposure to losses from potential unauthorized discharges of pollutants through the use of well-maintained and</w:t>
      </w:r>
    </w:p>
    <w:p>
      <w:pPr>
        <w:sectPr>
          <w:pgSz w:w="12240" w:h="15840" w:orient="portrait"/>
          <w:cols w:equalWidth="0" w:num="1">
            <w:col w:w="10800"/>
          </w:cols>
          <w:pgMar w:left="720" w:top="929" w:right="720" w:bottom="175"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929" w:right="720" w:bottom="175" w:gutter="0" w:footer="0" w:header="0"/>
          <w:type w:val="continuous"/>
        </w:sectPr>
      </w:pPr>
    </w:p>
    <w:bookmarkStart w:id="33" w:name="page34"/>
    <w:bookmarkEnd w:id="33"/>
    <w:p>
      <w:pPr>
        <w:jc w:val="both"/>
        <w:spacing w:after="0" w:line="246" w:lineRule="auto"/>
        <w:rPr>
          <w:sz w:val="20"/>
          <w:szCs w:val="20"/>
          <w:color w:val="auto"/>
        </w:rPr>
      </w:pPr>
      <w:r>
        <w:rPr>
          <w:rFonts w:ascii="Times New Roman" w:cs="Times New Roman" w:eastAsia="Times New Roman" w:hAnsi="Times New Roman"/>
          <w:sz w:val="20"/>
          <w:szCs w:val="20"/>
          <w:color w:val="auto"/>
        </w:rPr>
        <w:t>equipped tank barges and towing vessels, through safety, training and environmental programs, and through the Company’s insurance program, but a discharge of pollutants by the Company could have an adverse effect on the Company. Risks may arise for which th Company may not be insured. Claims covered by insurance are subject to deductibles, the aggregate amount of which could be material, and certain policies impose limitations on coverage. Existing insurance coverage may not be able to be renewed at commercially reasonable rates or coverage capacity for certain risks may not be available or adequate to cover future claims. If a loss occurs that is partially or completely uninsured, or the carrier is unable or unwilling to cover the claim, the Company could be exposed to liability.</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KMT is dependent on its ability to adequately crew its towing vessels. </w:t>
      </w:r>
      <w:r>
        <w:rPr>
          <w:rFonts w:ascii="Times New Roman" w:cs="Times New Roman" w:eastAsia="Times New Roman" w:hAnsi="Times New Roman"/>
          <w:sz w:val="20"/>
          <w:szCs w:val="20"/>
          <w:color w:val="auto"/>
        </w:rPr>
        <w:t>The Company’s vessels are crewed with employees who</w:t>
      </w:r>
    </w:p>
    <w:p>
      <w:pPr>
        <w:spacing w:after="0" w:line="36"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are licensed or certified by the USCG, including its captains, pilots, engineers and tankermen. The success of KMT is dependent on the Company’s ability to adequately crew its vessels. As a result, the Company invests significant resources in training its crew s and providing crew members an opportunity to advance from a deckhand to the captain of a Company towboat or tugboat. Inland crew members generally work rotations such as 20 days on, 10 days off rotation, or a 30 days on, 15 days off rotation. For the coastal fleet, crew members are generally required to work rotations such as 14 days on, 14 days off rotation, a 21 days on, 21 days off rotation or a 30 days on, 30 days off rotation, dependent upon the location. The nature of crewmember work schedules and assignments away from home for extended periods require special recruiting and at times it can be difficult to find candidates. With ongoing retirements and a mariner shortage in the industry, the Company faces competitive labor pressure and continues to monitor and implement market competitive pay practices. The Company also utilizes an internal development program to train Maritime Academy graduates for vessel leadership positions.</w:t>
      </w:r>
    </w:p>
    <w:p>
      <w:pPr>
        <w:spacing w:after="0" w:line="16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KMT has approximately 3,054 employees, of which approximately 2,337 are vessel crew members. None of the segment’s inland operations are subject to collective bargaining agreements. The segment’s coastal operations include approximately 436 vessel employees, of whom approximately 339 are subject to collective bargaining agreements in certain geographic areas. Any work stoppages or labor disputes could adversely affect coastal operations in those areas.</w:t>
      </w:r>
    </w:p>
    <w:p>
      <w:pPr>
        <w:spacing w:after="0" w:line="15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KMT is subject to the Jones Act. </w:t>
      </w:r>
      <w:r>
        <w:rPr>
          <w:rFonts w:ascii="Times New Roman" w:cs="Times New Roman" w:eastAsia="Times New Roman" w:hAnsi="Times New Roman"/>
          <w:sz w:val="20"/>
          <w:szCs w:val="20"/>
          <w:color w:val="auto"/>
        </w:rPr>
        <w:t>KMT competes principally in markets subject to the Jones Act, a federal cabotage law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restricts domestic marine transportation in the United States to vessels built and registered in the United States, and manned, owned and operated by United States citizens. The Company presently meets all of the requirements of the Jones Act for its owned and</w:t>
      </w:r>
    </w:p>
    <w:p>
      <w:pPr>
        <w:spacing w:after="0" w:line="2" w:lineRule="exact"/>
        <w:rPr>
          <w:sz w:val="20"/>
          <w:szCs w:val="20"/>
          <w:color w:val="auto"/>
        </w:rPr>
      </w:pPr>
    </w:p>
    <w:p>
      <w:pPr>
        <w:jc w:val="both"/>
        <w:ind w:firstLine="7"/>
        <w:spacing w:after="0" w:line="238" w:lineRule="auto"/>
        <w:rPr>
          <w:sz w:val="20"/>
          <w:szCs w:val="20"/>
          <w:color w:val="auto"/>
        </w:rPr>
      </w:pPr>
      <w:r>
        <w:rPr>
          <w:rFonts w:ascii="Times New Roman" w:cs="Times New Roman" w:eastAsia="Times New Roman" w:hAnsi="Times New Roman"/>
          <w:sz w:val="20"/>
          <w:szCs w:val="20"/>
          <w:color w:val="auto"/>
        </w:rPr>
        <w:t>operated vessels. The loss of Jones Act status could have a significant negative effect on the Company. The requirements that the Company’s vessels be United States built and manned by United States citizens, the crewing requirements and material requirement of the USCG, and the application of United States labor and tax laws increases the cost of United States flagged vessels compared to comparable foreign flagged vessels. The Company’s business could be adversely affected if the Jones Act or international trade agreements or laws were to be modified or waived as to permit foreign flagged vessels to operate in the United States as these vessels</w:t>
      </w:r>
    </w:p>
    <w:p>
      <w:pPr>
        <w:spacing w:after="0" w:line="20" w:lineRule="exact"/>
        <w:rPr>
          <w:sz w:val="20"/>
          <w:szCs w:val="20"/>
          <w:color w:val="auto"/>
        </w:rPr>
      </w:pPr>
    </w:p>
    <w:p>
      <w:pPr>
        <w:jc w:val="both"/>
        <w:ind w:firstLine="3"/>
        <w:spacing w:after="0" w:line="244" w:lineRule="auto"/>
        <w:rPr>
          <w:sz w:val="20"/>
          <w:szCs w:val="20"/>
          <w:color w:val="auto"/>
        </w:rPr>
      </w:pPr>
      <w:r>
        <w:rPr>
          <w:rFonts w:ascii="Times New Roman" w:cs="Times New Roman" w:eastAsia="Times New Roman" w:hAnsi="Times New Roman"/>
          <w:sz w:val="20"/>
          <w:szCs w:val="20"/>
          <w:color w:val="auto"/>
        </w:rPr>
        <w:t>are not subject to the same United States government imposed regulations, laws, and restrictions. Since the events of September 11, 2001, the United States government has taken steps to increase security of United States ports, coastal waters and inland waterways</w:t>
      </w:r>
    </w:p>
    <w:p>
      <w:pPr>
        <w:spacing w:after="0" w:line="20" w:lineRule="exact"/>
        <w:rPr>
          <w:sz w:val="20"/>
          <w:szCs w:val="20"/>
          <w:color w:val="auto"/>
        </w:rPr>
      </w:pPr>
    </w:p>
    <w:p>
      <w:pPr>
        <w:jc w:val="both"/>
        <w:ind w:firstLine="4"/>
        <w:spacing w:after="0"/>
        <w:rPr>
          <w:sz w:val="20"/>
          <w:szCs w:val="20"/>
          <w:color w:val="auto"/>
        </w:rPr>
      </w:pPr>
      <w:r>
        <w:rPr>
          <w:rFonts w:ascii="Times New Roman" w:cs="Times New Roman" w:eastAsia="Times New Roman" w:hAnsi="Times New Roman"/>
          <w:sz w:val="20"/>
          <w:szCs w:val="20"/>
          <w:color w:val="auto"/>
        </w:rPr>
        <w:t>The Company believes that it is unlikely that the current cabotage provisions of the Jones Act would be eliminated or significantly modified in a way that has a material adverse impact on the Company in the foreseeable future.</w:t>
      </w:r>
    </w:p>
    <w:p>
      <w:pPr>
        <w:spacing w:after="0" w:line="20" w:lineRule="exact"/>
        <w:rPr>
          <w:sz w:val="20"/>
          <w:szCs w:val="20"/>
          <w:color w:val="auto"/>
        </w:rPr>
      </w:pPr>
    </w:p>
    <w:p>
      <w:pPr>
        <w:spacing w:after="0" w:line="14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Two limited waivers of the Jones Act were granted in connection with the shutdown of the Colonial Pipeline in May 2021. In connection with recovery fr m Hurricane Fiona, in September and October 2022, two limited waivers of the Jones Act were granted to allow diesel and liquefied natural gas deliveries to Puerto Rico. An additional limited waiver was granted in connection with another shutdown of the Colonial Pipeline in April 2025. Waivers of the Jones Act, whether in response to natural disasters or otherwise, could result in increased competition from foreign tank vessel operators, which could negatively impact KMT.</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10800"/>
          </w:cols>
          <w:pgMar w:left="720" w:top="929" w:right="720" w:bottom="187" w:gutter="0" w:footer="0" w:header="0"/>
          <w:type w:val="continuous"/>
        </w:sectPr>
      </w:pPr>
    </w:p>
    <w:bookmarkStart w:id="34" w:name="page35"/>
    <w:bookmarkEnd w:id="34"/>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KMT is subject to extensive regulation by the USCG, federal laws, other federal agencies, various state laws, the laws of other countries when operating in their waters, and certain international conventions, as well as numerous environmental regulations.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majority of the Company’s vessels are subject to inspection by the USCG and carry certificates of inspection. The crews employed by the Company aboard vessels are licensed or certified by the USCG. The Company’s marine transportation operations are subject to laws of other countries when operating in their waters. The Company is required by various governmental agencies to obtain licenses certificates and permits for its owned and operated vessels. The Company’s operations are also affected by various United States and state regulations and legislation enacted for protection of the environment. The Company incurs significant expenses and capital expenditures to comply with applicable laws and regulations and any significant new regulation or legislation, including climat change laws or regulations, could have an adverse effect on the Company.</w:t>
      </w:r>
    </w:p>
    <w:p>
      <w:pPr>
        <w:spacing w:after="0" w:line="16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KMT is subject to natural gas and crude oil prices as well as the volatility of their prices as well as the volatility in production of refined products and petrochemicals in the United States. </w:t>
      </w:r>
      <w:r>
        <w:rPr>
          <w:rFonts w:ascii="Times New Roman" w:cs="Times New Roman" w:eastAsia="Times New Roman" w:hAnsi="Times New Roman"/>
          <w:sz w:val="20"/>
          <w:szCs w:val="20"/>
          <w:color w:val="auto"/>
        </w:rPr>
        <w:t>For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48% of KMT’s revenues were from the movement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petrochemicals, including the movement of raw materials and feedstocks from one refinery or petrochemical plant to another, as well as the movement of more finished products to end users and terminals for export. The United States petrochemical industry continue to benefit from a low-cost domestically produced natural gas feedstock advantage, producing strong volumes of raw materials and intermediate products for transportation between Gulf Coast petrochemical plants and the transportation of more finished products to</w:t>
      </w:r>
    </w:p>
    <w:p>
      <w:pPr>
        <w:spacing w:after="0" w:line="3" w:lineRule="exact"/>
        <w:rPr>
          <w:sz w:val="20"/>
          <w:szCs w:val="20"/>
          <w:color w:val="auto"/>
        </w:rPr>
      </w:pPr>
    </w:p>
    <w:p>
      <w:pPr>
        <w:jc w:val="both"/>
        <w:ind w:hanging="3"/>
        <w:spacing w:after="0" w:line="244" w:lineRule="auto"/>
        <w:rPr>
          <w:sz w:val="20"/>
          <w:szCs w:val="20"/>
          <w:color w:val="auto"/>
        </w:rPr>
      </w:pPr>
      <w:r>
        <w:rPr>
          <w:rFonts w:ascii="Times New Roman" w:cs="Times New Roman" w:eastAsia="Times New Roman" w:hAnsi="Times New Roman"/>
          <w:sz w:val="20"/>
          <w:szCs w:val="20"/>
          <w:color w:val="auto"/>
        </w:rPr>
        <w:t>terminals for both domestic consumers and for export destinations. Higher natural gas and crude oil prices are generally better for the Company’s businesses; however, higher natural gas prices and other factors could negatively impact the United States petrochemical industry and its production volumes, which could negatively impact the Company.</w:t>
      </w:r>
    </w:p>
    <w:p>
      <w:pPr>
        <w:spacing w:after="0" w:line="16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Demand for tank barge transportation services is driven by the production of volumes of the bulk liquid commodities such as petrochemicals, black oil and refined petroleum products that the Company transports by tank barge. This production can depend n the prevailing level of natural gas and crude oil prices, as well as the volatility of their prices. In general, lower energy prices are good for the United States economy and typically translate into increased petrochemical and refined product demand and therefore increased demand for tank barge transportation services. However, during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 00 barrels or less category transporting crude oil and natural gas condensate. By the end of 2019, the Company estimates that number of tank barges had declined to 335 inland tank barges and approximately five coastal tank barges transporting crude and natural ga condensate. As of the end of 2023, the Company estimates that approximately 190 to 220 inland tank barges were transporting crude and natural gas condensate. As of the end of 2024, the Company estimates that approximately 170 to 180 inland tank barges were transporting crude and natural gas condensate. As of the end of 2025, the Company estimates that approximately 170 to 180 inland tank barges were transporting crude and natural gas condensate. Volatility in the price of natural gas and crude oil can also result in heightened uncertainty which may lead to decreased production and delays in new petrochemical and refinery plant construction. Increased competition for available black oil and petrochemical barge moves caused by reduced crude oil and natural gas condensate production could have an adverse impact on KMT including as a result of lower spot and term contract rates and/or reluctance to enter into or extend term contracts.</w:t>
      </w:r>
    </w:p>
    <w:p>
      <w:pPr>
        <w:spacing w:after="0" w:line="16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KMT could be adversely impacted by the construction of tank barges. </w:t>
      </w:r>
      <w:r>
        <w:rPr>
          <w:rFonts w:ascii="Times New Roman" w:cs="Times New Roman" w:eastAsia="Times New Roman" w:hAnsi="Times New Roman"/>
          <w:sz w:val="20"/>
          <w:szCs w:val="20"/>
          <w:color w:val="auto"/>
        </w:rPr>
        <w:t>At the present time, there are an estimated 4,004 inland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tank barges in the United States, of which the Company operates 1,105, or 28%. For 2023, the Company estimates that industry-wide 27 new tank barges were placed in service and 48 tank barges were retired. For 2024, the Company estimates that industry-wide 34 new tank barges were placed in service and 38 tank barges were retired. For 2025, the Company estimates that industry-wide 66 n w tank barges were placed in service and 65 tank barges were retired. The Company estimates that approximately 60 to 70 new tank</w:t>
      </w:r>
    </w:p>
    <w:p>
      <w:pPr>
        <w:jc w:val="both"/>
        <w:ind w:hanging="1"/>
        <w:spacing w:after="0" w:line="248" w:lineRule="auto"/>
        <w:rPr>
          <w:sz w:val="20"/>
          <w:szCs w:val="20"/>
          <w:color w:val="auto"/>
        </w:rPr>
      </w:pPr>
      <w:r>
        <w:rPr>
          <w:rFonts w:ascii="Times New Roman" w:cs="Times New Roman" w:eastAsia="Times New Roman" w:hAnsi="Times New Roman"/>
          <w:sz w:val="20"/>
          <w:szCs w:val="20"/>
          <w:color w:val="auto"/>
        </w:rPr>
        <w:t>barges have currently been ordered for delivery in 2026 and expects a number of older tank barges will be retired, dependent on 2026 market conditions.</w:t>
      </w:r>
    </w:p>
    <w:p>
      <w:pPr>
        <w:spacing w:after="0" w:line="156"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long-term risk of an oversupply of inland tank barges may be mitigated by the fact that the inland tank barge industry has approximately 600 tank barges that are 30 years old or older and approximately 350 of those are 40 years old or older. Given the ag profile of the industry inland tank barge fleet and extensive customer vetting standards, the expectation is that these older tank barges will continue to be removed from service and replaced by new tank barges as needed,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160"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20"/>
          <w:szCs w:val="20"/>
          <w:color w:val="auto"/>
        </w:rPr>
        <w:t>The Company estimates there are approximately 260 tank barges operating in the 195,000 barrels or less coastal industry fleet, the sector of the market in which the Company operates, and approximately 22 of those are over 25 years old. The Company is aware of no ATBs placed in service in 2023, 2024 or 2025 and no ATBs currently under construction.</w:t>
      </w:r>
    </w:p>
    <w:p>
      <w:pPr>
        <w:spacing w:after="0" w:line="14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Higher fuel prices could increase operating expenses and fuel price volatility could reduce profitability. </w:t>
      </w:r>
      <w:r>
        <w:rPr>
          <w:rFonts w:ascii="Times New Roman" w:cs="Times New Roman" w:eastAsia="Times New Roman" w:hAnsi="Times New Roman"/>
          <w:sz w:val="20"/>
          <w:szCs w:val="20"/>
          <w:color w:val="auto"/>
        </w:rPr>
        <w:t>The cost of fuel during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was approximately 8% of marine transportation revenue. The Company’s marine transportation term contracts typically includ fuel escalation clauses, or the customer pays for the fuel. However, there is generally a 30 to 120 day delay before contracts ar</w:t>
      </w:r>
    </w:p>
    <w:p>
      <w:pPr>
        <w:sectPr>
          <w:pgSz w:w="12240" w:h="15840" w:orient="portrait"/>
          <w:cols w:equalWidth="0" w:num="1">
            <w:col w:w="10800"/>
          </w:cols>
          <w:pgMar w:left="720" w:top="932" w:right="720" w:bottom="210" w:gutter="0" w:footer="0" w:header="0"/>
        </w:sect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ectPr>
          <w:pgSz w:w="12240" w:h="15840" w:orient="portrait"/>
          <w:cols w:equalWidth="0" w:num="1">
            <w:col w:w="10800"/>
          </w:cols>
          <w:pgMar w:left="720" w:top="932" w:right="720" w:bottom="210" w:gutter="0" w:footer="0" w:header="0"/>
          <w:type w:val="continuous"/>
        </w:sectPr>
      </w:pPr>
    </w:p>
    <w:bookmarkStart w:id="35" w:name="page36"/>
    <w:bookmarkEnd w:id="35"/>
    <w:p>
      <w:pPr>
        <w:jc w:val="both"/>
        <w:ind w:hanging="1"/>
        <w:spacing w:after="0" w:line="247" w:lineRule="auto"/>
        <w:rPr>
          <w:sz w:val="20"/>
          <w:szCs w:val="20"/>
          <w:color w:val="auto"/>
        </w:rPr>
      </w:pPr>
      <w:r>
        <w:rPr>
          <w:rFonts w:ascii="Times New Roman" w:cs="Times New Roman" w:eastAsia="Times New Roman" w:hAnsi="Times New Roman"/>
          <w:sz w:val="20"/>
          <w:szCs w:val="20"/>
          <w:color w:val="auto"/>
        </w:rPr>
        <w:t>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63"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20"/>
          <w:szCs w:val="20"/>
          <w:i w:val="1"/>
          <w:iCs w:val="1"/>
          <w:color w:val="auto"/>
        </w:rPr>
        <w:t>Significant increases in the construction cost of tank barges and towing vessels may limit the Company’s ability to earn an adequate return on its investment in new tank barges and towing vessels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price of steel, economic conditions, and supply and</w:t>
      </w:r>
    </w:p>
    <w:p>
      <w:pPr>
        <w:spacing w:after="0" w:line="2" w:lineRule="exact"/>
        <w:rPr>
          <w:sz w:val="20"/>
          <w:szCs w:val="20"/>
          <w:color w:val="auto"/>
        </w:rPr>
      </w:pPr>
    </w:p>
    <w:p>
      <w:pPr>
        <w:jc w:val="both"/>
        <w:ind w:firstLine="7"/>
        <w:spacing w:after="0" w:line="237" w:lineRule="auto"/>
        <w:rPr>
          <w:sz w:val="20"/>
          <w:szCs w:val="20"/>
          <w:color w:val="auto"/>
        </w:rPr>
      </w:pPr>
      <w:r>
        <w:rPr>
          <w:rFonts w:ascii="Times New Roman" w:cs="Times New Roman" w:eastAsia="Times New Roman" w:hAnsi="Times New Roman"/>
          <w:sz w:val="20"/>
          <w:szCs w:val="20"/>
          <w:color w:val="auto"/>
        </w:rPr>
        <w:t>demand dynamics can significantly impact the construction cost of new tank barges and towing vessels. Over the last 20 years, the Company’s average construction price for a new 30,000 barrel capacity inland tank barge has fluctuated up or down significantly. For example, the average construction price for a new 30,000 barrel capacity tank barge in 2009 was approximately 90% higher than in</w:t>
      </w:r>
    </w:p>
    <w:p>
      <w:pPr>
        <w:spacing w:after="0" w:line="20" w:lineRule="exact"/>
        <w:rPr>
          <w:sz w:val="20"/>
          <w:szCs w:val="20"/>
          <w:color w:val="auto"/>
        </w:rPr>
      </w:pPr>
    </w:p>
    <w:p>
      <w:pPr>
        <w:ind w:firstLine="4"/>
        <w:spacing w:after="0"/>
        <w:rPr>
          <w:sz w:val="20"/>
          <w:szCs w:val="20"/>
          <w:color w:val="auto"/>
        </w:rPr>
      </w:pPr>
      <w:r>
        <w:rPr>
          <w:rFonts w:ascii="Times New Roman" w:cs="Times New Roman" w:eastAsia="Times New Roman" w:hAnsi="Times New Roman"/>
          <w:sz w:val="20"/>
          <w:szCs w:val="20"/>
          <w:color w:val="auto"/>
        </w:rPr>
        <w:t>2000, with increases primarily related to higher steel costs. During 2009, the United States and global recession negatively impacted demand levels for inland tank barges and as a result, the construction price of inland tank barges fell significantly in 2010, primarily due to a significant decrease in steel prices, as well as a decrease in the number of tank barges ordered. The cost of steel, a key material in barge construction, was relatively stable from 2010 through 2019. During 2020, at the onset of the COVID-19 pandemi steel costs dropped, however, during 2021 and 2022, steel prices rose above 2019 levels due to supply chain disruptions before decreasing in 2023. Although steel prices have remained stable in 2024 and 2025, they still remain near historical highs. These increases in steel costs and alterations in supply and demand dynamics, as well as higher labor costs, resulted in construction prices for</w:t>
      </w:r>
    </w:p>
    <w:p>
      <w:pPr>
        <w:spacing w:after="0" w:line="20" w:lineRule="exact"/>
        <w:rPr>
          <w:sz w:val="20"/>
          <w:szCs w:val="20"/>
          <w:color w:val="auto"/>
        </w:rPr>
      </w:pPr>
    </w:p>
    <w:p>
      <w:pPr>
        <w:jc w:val="both"/>
        <w:ind w:firstLine="7"/>
        <w:spacing w:after="0" w:line="248" w:lineRule="auto"/>
        <w:rPr>
          <w:sz w:val="20"/>
          <w:szCs w:val="20"/>
          <w:color w:val="auto"/>
        </w:rPr>
      </w:pPr>
      <w:r>
        <w:rPr>
          <w:rFonts w:ascii="Times New Roman" w:cs="Times New Roman" w:eastAsia="Times New Roman" w:hAnsi="Times New Roman"/>
          <w:sz w:val="20"/>
          <w:szCs w:val="20"/>
          <w:color w:val="auto"/>
        </w:rPr>
        <w:t>a new 30,000 barrel tank barge increasing compared to prices in 2017 when there was an industry-wide over-capacity of inland tank barges in the market.</w:t>
      </w:r>
    </w:p>
    <w:p>
      <w:pPr>
        <w:spacing w:after="0" w:line="20" w:lineRule="exact"/>
        <w:rPr>
          <w:sz w:val="20"/>
          <w:szCs w:val="20"/>
          <w:color w:val="auto"/>
        </w:rPr>
      </w:pPr>
    </w:p>
    <w:p>
      <w:pPr>
        <w:spacing w:after="0" w:line="139"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KMT could be adversely impacted by the failure of the Company’s shipyard vendors to deliver new vessels according to contractually agreed delivery schedules and terms. </w:t>
      </w:r>
      <w:r>
        <w:rPr>
          <w:rFonts w:ascii="Times New Roman" w:cs="Times New Roman" w:eastAsia="Times New Roman" w:hAnsi="Times New Roman"/>
          <w:sz w:val="20"/>
          <w:szCs w:val="20"/>
          <w:color w:val="auto"/>
        </w:rPr>
        <w:t>The Company contracts with shipyards to build new vessels and currently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 The Company did not experience significant shipyard delays associated with the COVID-19 pandemic, including at its subsidiary, San Jac. The Company expects that its shipyard vendors, including San Jac, should be able to similarly manage their operations if an event of a similar impact were to occur in the future, but there is no guarantee that the vendors would be able to do so.</w:t>
      </w:r>
    </w:p>
    <w:p>
      <w:pPr>
        <w:spacing w:after="0" w:line="173" w:lineRule="exact"/>
        <w:rPr>
          <w:sz w:val="20"/>
          <w:szCs w:val="20"/>
          <w:color w:val="auto"/>
        </w:rPr>
      </w:pPr>
    </w:p>
    <w:p>
      <w:pPr>
        <w:jc w:val="both"/>
        <w:ind w:firstLine="367"/>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The Company is subject to competition in KMT. </w:t>
      </w:r>
      <w:r>
        <w:rPr>
          <w:rFonts w:ascii="Times New Roman" w:cs="Times New Roman" w:eastAsia="Times New Roman" w:hAnsi="Times New Roman"/>
          <w:sz w:val="20"/>
          <w:szCs w:val="20"/>
          <w:color w:val="auto"/>
        </w:rPr>
        <w:t>The inland and coastal tank barge industry remains very fragmented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competitive. The Company’s primary competitors are noncaptive inland tank barge operators and coastal operators. The Company</w:t>
      </w:r>
    </w:p>
    <w:p>
      <w:pPr>
        <w:spacing w:after="0" w:line="1" w:lineRule="exact"/>
        <w:rPr>
          <w:sz w:val="20"/>
          <w:szCs w:val="20"/>
          <w:color w:val="auto"/>
        </w:rPr>
      </w:pPr>
    </w:p>
    <w:p>
      <w:pPr>
        <w:jc w:val="both"/>
        <w:ind w:firstLine="6"/>
        <w:spacing w:after="0" w:line="242" w:lineRule="auto"/>
        <w:rPr>
          <w:sz w:val="20"/>
          <w:szCs w:val="20"/>
          <w:color w:val="auto"/>
        </w:rPr>
      </w:pPr>
      <w:r>
        <w:rPr>
          <w:rFonts w:ascii="Times New Roman" w:cs="Times New Roman" w:eastAsia="Times New Roman" w:hAnsi="Times New Roman"/>
          <w:sz w:val="20"/>
          <w:szCs w:val="20"/>
          <w:color w:val="auto"/>
        </w:rPr>
        <w:t>also competes with companies who operate refined product and petrochemical pipelines, railroad tank cars and tractor-trailer tank trucks. Increased competition from any significant expansion of or additions to facilities or equipment by the Company’s competit r could have a negative impact on the Company’s results of operations. In addition, the Company’s failure to adhere to its safety, reliability and performance standards may impact its ability to retain current customers or attract new customers.</w:t>
      </w:r>
    </w:p>
    <w:p>
      <w:pPr>
        <w:spacing w:after="0" w:line="20" w:lineRule="exact"/>
        <w:rPr>
          <w:sz w:val="20"/>
          <w:szCs w:val="20"/>
          <w:color w:val="auto"/>
        </w:r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Services Segment Risk Factors</w:t>
      </w:r>
    </w:p>
    <w:p>
      <w:pPr>
        <w:spacing w:after="0" w:line="20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KDS could be adversely impacted by future legislation, executive or other governmental orders, or additional regulation of oil and gas extraction, including hydraulic fracturing practices. </w:t>
      </w:r>
      <w:r>
        <w:rPr>
          <w:rFonts w:ascii="Times New Roman" w:cs="Times New Roman" w:eastAsia="Times New Roman" w:hAnsi="Times New Roman"/>
          <w:sz w:val="20"/>
          <w:szCs w:val="20"/>
          <w:color w:val="auto"/>
        </w:rPr>
        <w:t>The Company, through its United and S&amp;S subsidiaries, is a distributor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service provider of engine and transmission related products for the oil and gas services, power generation and transportation industries, and a manufacturer of oilfield service equipment, including pressure pumping units. In the past, various legislative and regulatory initiatives have been proposed that, if passed, could limit or discourage future production of oil and gas. Further, legislation may be enacted by Congress that would authorize the EPA to impose additional regulations on hydraulic fracturing. In addition,</w:t>
      </w:r>
    </w:p>
    <w:p>
      <w:pPr>
        <w:spacing w:after="0" w:line="3" w:lineRule="exact"/>
        <w:rPr>
          <w:sz w:val="20"/>
          <w:szCs w:val="20"/>
          <w:color w:val="auto"/>
        </w:rPr>
      </w:pPr>
    </w:p>
    <w:p>
      <w:pPr>
        <w:jc w:val="both"/>
        <w:ind w:firstLine="1"/>
        <w:spacing w:after="0" w:line="242" w:lineRule="auto"/>
        <w:rPr>
          <w:sz w:val="20"/>
          <w:szCs w:val="20"/>
          <w:color w:val="auto"/>
        </w:rPr>
      </w:pPr>
      <w:r>
        <w:rPr>
          <w:rFonts w:ascii="Times New Roman" w:cs="Times New Roman" w:eastAsia="Times New Roman" w:hAnsi="Times New Roman"/>
          <w:sz w:val="20"/>
          <w:szCs w:val="20"/>
          <w:color w:val="auto"/>
        </w:rPr>
        <w:t>number of states have adopted or are evaluating the adoption of legislation or regulations governing hydraulic fracturing or byproducts of the fracturing process. Related actions may also be taken via executive order. Federal or state legislation, executive or governmental orders,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or repealed and, if so, the impact on KDS.</w:t>
      </w:r>
    </w:p>
    <w:p>
      <w:pPr>
        <w:spacing w:after="0" w:line="20" w:lineRule="exact"/>
        <w:rPr>
          <w:sz w:val="20"/>
          <w:szCs w:val="20"/>
          <w:color w:val="auto"/>
        </w:rPr>
      </w:pPr>
    </w:p>
    <w:p>
      <w:pPr>
        <w:spacing w:after="0" w:line="14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Prevailing natural gas and crude oil prices, as well as the volatility of their prices, could have an adverse effect on KDS business </w:t>
      </w:r>
      <w:r>
        <w:rPr>
          <w:rFonts w:ascii="Times New Roman" w:cs="Times New Roman" w:eastAsia="Times New Roman" w:hAnsi="Times New Roman"/>
          <w:sz w:val="20"/>
          <w:szCs w:val="20"/>
          <w:color w:val="auto"/>
        </w:rPr>
        <w:t>Lower energy prices generally result in a decrease in the number of oil and gas wells being drilled. Oilfield service companies reduce their capital spending, resulting in decreased demand for new parts and equipment, including pressure pumping units, provided b</w:t>
      </w:r>
    </w:p>
    <w:p>
      <w:pPr>
        <w:sectPr>
          <w:pgSz w:w="12240" w:h="15840" w:orient="portrait"/>
          <w:cols w:equalWidth="0" w:num="1">
            <w:col w:w="10800"/>
          </w:cols>
          <w:pgMar w:left="720" w:top="929" w:right="720" w:bottom="187"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10800"/>
          </w:cols>
          <w:pgMar w:left="720" w:top="929" w:right="720" w:bottom="187" w:gutter="0" w:footer="0" w:header="0"/>
          <w:type w:val="continuous"/>
        </w:sectPr>
      </w:pPr>
    </w:p>
    <w:bookmarkStart w:id="36" w:name="page37"/>
    <w:bookmarkEnd w:id="36"/>
    <w:p>
      <w:pPr>
        <w:jc w:val="both"/>
        <w:spacing w:after="0" w:line="246" w:lineRule="auto"/>
        <w:rPr>
          <w:sz w:val="20"/>
          <w:szCs w:val="20"/>
          <w:color w:val="auto"/>
        </w:rPr>
      </w:pPr>
      <w:r>
        <w:rPr>
          <w:rFonts w:ascii="Times New Roman" w:cs="Times New Roman" w:eastAsia="Times New Roman" w:hAnsi="Times New Roman"/>
          <w:sz w:val="20"/>
          <w:szCs w:val="20"/>
          <w:color w:val="auto"/>
        </w:rPr>
        <w:t>KDS. This may also lead to order cancellations from customers or customers requesting to delay delivery of new equipment. The Company also services offshore supply vessels and offshore drillings rigs operating in the Gulf of America, as well as internationally. Low energy prices may negatively impact the number of wells drilled in the Gulf of America and international waters. Prolonged downturns in oil and gas prices may cause substantial declines in oilfield service and exploration expenditures and could adversely impact oil and gas manufacturing, remanufacturing, parts and distribution business. In addition, energy price volatility may also result</w:t>
      </w:r>
    </w:p>
    <w:p>
      <w:pPr>
        <w:jc w:val="both"/>
        <w:spacing w:after="0" w:line="248" w:lineRule="auto"/>
        <w:rPr>
          <w:sz w:val="20"/>
          <w:szCs w:val="20"/>
          <w:color w:val="auto"/>
        </w:rPr>
      </w:pPr>
      <w:r>
        <w:rPr>
          <w:rFonts w:ascii="Times New Roman" w:cs="Times New Roman" w:eastAsia="Times New Roman" w:hAnsi="Times New Roman"/>
          <w:sz w:val="20"/>
          <w:szCs w:val="20"/>
          <w:color w:val="auto"/>
        </w:rPr>
        <w:t>in difficulties in the Company’s ability to address variations in production on a timely basis and, therefore, could result in an adverse impact on KDS.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 xml:space="preserve">The Company is subject to competition in KDS. </w:t>
      </w:r>
      <w:r>
        <w:rPr>
          <w:rFonts w:ascii="Times New Roman" w:cs="Times New Roman" w:eastAsia="Times New Roman" w:hAnsi="Times New Roman"/>
          <w:sz w:val="20"/>
          <w:szCs w:val="20"/>
          <w:color w:val="auto"/>
        </w:rPr>
        <w:t>The distribution and services industry is very competitive. The segment’s oil and</w:t>
      </w:r>
    </w:p>
    <w:p>
      <w:pPr>
        <w:spacing w:after="0" w:line="36" w:lineRule="exact"/>
        <w:rPr>
          <w:sz w:val="20"/>
          <w:szCs w:val="20"/>
          <w:color w:val="auto"/>
        </w:rPr>
      </w:pPr>
    </w:p>
    <w:p>
      <w:pPr>
        <w:ind w:firstLine="6"/>
        <w:spacing w:after="0" w:line="237" w:lineRule="auto"/>
        <w:rPr>
          <w:sz w:val="20"/>
          <w:szCs w:val="20"/>
          <w:color w:val="auto"/>
        </w:rPr>
      </w:pPr>
      <w:r>
        <w:rPr>
          <w:rFonts w:ascii="Times New Roman" w:cs="Times New Roman" w:eastAsia="Times New Roman" w:hAnsi="Times New Roman"/>
          <w:sz w:val="20"/>
          <w:szCs w:val="20"/>
          <w:color w:val="auto"/>
        </w:rPr>
        <w:t>gas market’s principal competitors are independent distribution and service and oilfield manufacturing companies and other factor authorized distributors and service centers. In addition, certain oilfield service companies that are customers of the Company also manufacture and service a portion of their own oilfield equipment. Increased competition in the distribution and services industry and continued low price or alternative sourcing of natural gas, crude oil or natural gas condensate, and resulting decline in drilling for such</w:t>
      </w:r>
    </w:p>
    <w:p>
      <w:pPr>
        <w:spacing w:after="0" w:line="20" w:lineRule="exact"/>
        <w:rPr>
          <w:sz w:val="20"/>
          <w:szCs w:val="20"/>
          <w:color w:val="auto"/>
        </w:rPr>
      </w:pPr>
    </w:p>
    <w:p>
      <w:pPr>
        <w:jc w:val="both"/>
        <w:ind w:hanging="4"/>
        <w:spacing w:after="0" w:line="244" w:lineRule="auto"/>
        <w:rPr>
          <w:sz w:val="20"/>
          <w:szCs w:val="20"/>
          <w:color w:val="auto"/>
        </w:rPr>
      </w:pPr>
      <w:r>
        <w:rPr>
          <w:rFonts w:ascii="Times New Roman" w:cs="Times New Roman" w:eastAsia="Times New Roman" w:hAnsi="Times New Roman"/>
          <w:sz w:val="20"/>
          <w:szCs w:val="20"/>
          <w:color w:val="auto"/>
        </w:rPr>
        <w:t>natural resources in North American shale formations, could result in less oilfield equipment being manufactured and remanufactured, lower rates for service and parts pricing and result in less manufacturing, remanufacturing, service and repair opportunities and parts</w:t>
      </w:r>
    </w:p>
    <w:p>
      <w:pPr>
        <w:spacing w:after="0" w:line="20" w:lineRule="exact"/>
        <w:rPr>
          <w:sz w:val="20"/>
          <w:szCs w:val="20"/>
          <w:color w:val="auto"/>
        </w:rPr>
      </w:pPr>
    </w:p>
    <w:p>
      <w:pPr>
        <w:jc w:val="both"/>
        <w:ind w:firstLine="10"/>
        <w:spacing w:after="0"/>
        <w:rPr>
          <w:sz w:val="20"/>
          <w:szCs w:val="20"/>
          <w:color w:val="auto"/>
        </w:rPr>
      </w:pPr>
      <w:r>
        <w:rPr>
          <w:rFonts w:ascii="Times New Roman" w:cs="Times New Roman" w:eastAsia="Times New Roman" w:hAnsi="Times New Roman"/>
          <w:sz w:val="20"/>
          <w:szCs w:val="20"/>
          <w:color w:val="auto"/>
        </w:rPr>
        <w:t>sales for the Company. Further, the oil and gas industry is characterized by rapid and significant technological advancements and introductions of new products using new technologies. As competitors and others use or develop new technologies, the Company ma lose market share or be placed at a competitive disadvantage. The Company may face competitive pressure to implement or acquire certain new technologies at a substantial cost. Additionally, the Company may be unable to implement new technologies on a timely basis or at an acceptable cost. For the commercial and industrial market, the segment’s primary marine diesel competitors are independent diesel services companies and other factory-authorized distributors, authorized service centers and authorized marin dealers. Certain operators of diesel powered marine equipment also elect to maintain in-house service capabilities. For power generation, the primary competitors are other independent service companies.</w:t>
      </w:r>
    </w:p>
    <w:p>
      <w:pPr>
        <w:spacing w:after="0" w:line="20" w:lineRule="exact"/>
        <w:rPr>
          <w:sz w:val="20"/>
          <w:szCs w:val="20"/>
          <w:color w:val="auto"/>
        </w:rPr>
      </w:pP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Loss of a distributorship or other significant business relationship or disruptions of supply could adversely affect KDS. </w:t>
      </w:r>
      <w:r>
        <w:rPr>
          <w:rFonts w:ascii="Times New Roman" w:cs="Times New Roman" w:eastAsia="Times New Roman" w:hAnsi="Times New Roman"/>
          <w:sz w:val="20"/>
          <w:szCs w:val="20"/>
          <w:color w:val="auto"/>
        </w:rPr>
        <w:t>KDS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has</w:t>
      </w:r>
    </w:p>
    <w:p>
      <w:pPr>
        <w:spacing w:after="0" w:line="37" w:lineRule="exact"/>
        <w:rPr>
          <w:sz w:val="20"/>
          <w:szCs w:val="20"/>
          <w:color w:val="auto"/>
        </w:rPr>
      </w:pPr>
    </w:p>
    <w:p>
      <w:pPr>
        <w:jc w:val="both"/>
        <w:ind w:firstLine="1"/>
        <w:spacing w:after="0"/>
        <w:rPr>
          <w:sz w:val="20"/>
          <w:szCs w:val="20"/>
          <w:color w:val="auto"/>
        </w:rPr>
      </w:pPr>
      <w:r>
        <w:rPr>
          <w:rFonts w:ascii="Times New Roman" w:cs="Times New Roman" w:eastAsia="Times New Roman" w:hAnsi="Times New Roman"/>
          <w:sz w:val="20"/>
          <w:szCs w:val="20"/>
          <w:color w:val="auto"/>
        </w:rPr>
        <w:t>had a relationship with EMD, the largest manufacturer of medium-speed diesel engines, since the 1960s. The Company, through Kirby Engine Systems, serves as an EMD distributor for select markets and locations for both service and parts. With the acquisition of S&amp;S in September 2017, the Company added additional EMD distributorship rights in key states, primarily through the Central and South areas of the United States. With the S&amp;S acquisition, the Company became the United States distributor for EMD marine and power generation applications. Sales and service of EMD products account for approximately 3% of the Company’s revenues for 2025. Although the Company considers its relationship with EMD to be strong, the loss of the EMD distributorship and service rights, r a disruption of the supply of EMD parts, could have a negative impact on the Company’s ability to service its customers. In 2020, w ith the acquisition of Convoy Servicing Company and Agility Fleet Services, LLC, the Company expanded its dealership network of Thermo King refrigeration systems for trucks, railroad cars, and other land transportation markets in Texas and Colorado. In 2025, sales and service of Thermo King products comprised approximately 4% of the Company’s revenues.</w:t>
      </w:r>
    </w:p>
    <w:p>
      <w:pPr>
        <w:spacing w:after="0" w:line="20" w:lineRule="exact"/>
        <w:rPr>
          <w:sz w:val="20"/>
          <w:szCs w:val="20"/>
          <w:color w:val="auto"/>
        </w:rPr>
      </w:pPr>
    </w:p>
    <w:p>
      <w:pPr>
        <w:spacing w:after="0" w:line="143"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 s United and S&amp;S are also the distributors for parts, service and warranty on Daimler truck engines and related equipment in multiple states. Sales and service of MTU, Allison, and Daimler products accounted for approximately 12% of the Company’s revenues during 2025. Although the Company considers its relationships with MTU, Allison, and Daimler to be strong, the loss of MTU, Allison, or Daimler distributorships and service rights, or a disruption of the supply of MTU or Allison parts, could have a negative impact on the Company’s ability to service its customers.</w:t>
      </w:r>
    </w:p>
    <w:p>
      <w:pPr>
        <w:spacing w:after="0" w:line="162" w:lineRule="exact"/>
        <w:rPr>
          <w:sz w:val="20"/>
          <w:szCs w:val="20"/>
          <w:color w:val="auto"/>
        </w:rPr>
      </w:pPr>
    </w:p>
    <w:p>
      <w:pPr>
        <w:jc w:val="both"/>
        <w:ind w:firstLine="365"/>
        <w:spacing w:after="0" w:line="259" w:lineRule="auto"/>
        <w:rPr>
          <w:sz w:val="20"/>
          <w:szCs w:val="20"/>
          <w:color w:val="auto"/>
        </w:rPr>
      </w:pPr>
      <w:r>
        <w:rPr>
          <w:rFonts w:ascii="Times New Roman" w:cs="Times New Roman" w:eastAsia="Times New Roman" w:hAnsi="Times New Roman"/>
          <w:sz w:val="20"/>
          <w:szCs w:val="20"/>
          <w:color w:val="auto"/>
        </w:rPr>
        <w:t>In addition to its relationships with MTU, Allison, and Daimler, the Company also has relationships with many other distributor and parts suppliers and the loss of a distributorship and service rights, or a disruption of the supply of parts from any of these other distributors or part suppliers could also have a negative impact on the Company’s ability to service its customers.</w:t>
      </w:r>
    </w:p>
    <w:p>
      <w:pPr>
        <w:sectPr>
          <w:pgSz w:w="12240" w:h="15840" w:orient="portrait"/>
          <w:cols w:equalWidth="0" w:num="1">
            <w:col w:w="10800"/>
          </w:cols>
          <w:pgMar w:left="720" w:top="929" w:right="7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25</w:t>
      </w:r>
    </w:p>
    <w:p>
      <w:pPr>
        <w:sectPr>
          <w:pgSz w:w="12240" w:h="15840" w:orient="portrait"/>
          <w:cols w:equalWidth="0" w:num="1">
            <w:col w:w="10800"/>
          </w:cols>
          <w:pgMar w:left="720" w:top="929" w:right="720" w:bottom="21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Corporate Risk Factors</w:t>
      </w:r>
    </w:p>
    <w:p>
      <w:pPr>
        <w:spacing w:after="0" w:line="200"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The Company is subject to adverse weather conditions in KMT and KDS. </w:t>
      </w:r>
      <w:r>
        <w:rPr>
          <w:rFonts w:ascii="Times New Roman" w:cs="Times New Roman" w:eastAsia="Times New Roman" w:hAnsi="Times New Roman"/>
          <w:sz w:val="20"/>
          <w:szCs w:val="20"/>
          <w:color w:val="auto"/>
        </w:rPr>
        <w:t>KMT is subject to weather condition volatility. Physical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impacts of climate change could have a material adverse effect on the Company's costs and operations. There has been public discussion that climate change may be associated with rising sea levels as well as extreme weather conditions such as more intens hurricanes, thunderstorms, tornadoes, drought, and snow or ice storms. Extreme weather conditions may increase the Company’s costs or cause damage to its facilities, and any damage resulting from extreme weather may not be fully insured. Many of the Company’ facilities are located near coastal areas or waterways where rising sea levels or flooding could disrupt the Company’s operations or adversely impact its facilities. Adverse weather conditions such as high or low water on the inland waterway systems, fog and i e tropical storms, hurricanes, and tsunamis on both the inland waterway systems and throughout the United States coastal waters c n impair the operating efficiencies of the marine fleet. Such adverse weather conditions can cause a delay, diversion or postponement of shipments of products and are totally beyond the control of the Company. Tropical storms and hurricanes may also impact the Company’s customers resulting in reduced demand for the Company’s services. In addition, adverse water and weather conditions can negatively affect a towing vessel’s performance, tow size, loading drafts, fleet efficiency, limit navigation periods and dictate horsepower requirements. KDS is also subject to tropical storms and hurricanes impacting its coastal locations and those of its customers as well as tornados impacting its Oklahoma facilities. The risk of flooding as a result of hurricanes and tropical st rms a</w:t>
      </w:r>
    </w:p>
    <w:p>
      <w:pPr>
        <w:spacing w:after="0" w:line="10"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well as other weather events may impede travel via roadways, suspend service work, and impact deliveries and the Company’s abilit to fulfill orders or provide services in KDS.</w:t>
      </w:r>
    </w:p>
    <w:p>
      <w:pPr>
        <w:spacing w:after="0" w:line="20" w:lineRule="exact"/>
        <w:rPr>
          <w:sz w:val="20"/>
          <w:szCs w:val="20"/>
          <w:color w:val="auto"/>
        </w:rPr>
      </w:pPr>
    </w:p>
    <w:p>
      <w:pPr>
        <w:spacing w:after="0" w:line="146"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0"/>
          <w:szCs w:val="20"/>
          <w:i w:val="1"/>
          <w:iCs w:val="1"/>
          <w:color w:val="auto"/>
        </w:rPr>
        <w:t>The Company may be unable to make attractive acquisitions or successfully integrate acquired businesses, and any inability to d so may adversely affect the Company’s business and hinder its ability to grow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has made asset and business acquisitions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past and may continue to make 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synergies, to successfully integrate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6799580</wp:posOffset>
            </wp:positionH>
            <wp:positionV relativeFrom="paragraph">
              <wp:posOffset>-2412365</wp:posOffset>
            </wp:positionV>
            <wp:extent cx="698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extLst>
                    </a:blip>
                    <a:srcRect/>
                    <a:stretch>
                      <a:fillRect/>
                    </a:stretch>
                  </pic:blipFill>
                  <pic:spPr bwMode="auto">
                    <a:xfrm>
                      <a:off x="0" y="0"/>
                      <a:ext cx="6985" cy="36830"/>
                    </a:xfrm>
                    <a:prstGeom prst="rect">
                      <a:avLst/>
                    </a:prstGeom>
                    <a:noFill/>
                  </pic:spPr>
                </pic:pic>
              </a:graphicData>
            </a:graphic>
          </wp:anchor>
        </w:drawing>
      </w:r>
    </w:p>
    <w:p>
      <w:pPr>
        <w:spacing w:after="0" w:line="148"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i w:val="1"/>
          <w:iCs w:val="1"/>
          <w:color w:val="auto"/>
        </w:rPr>
        <w:t>The Company’s failure to comply with the FCPA, or similar local applicable anti-bribery laws, could have a negative impact on its ongoing operations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operations outside the United States require the Company to comply with both United States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international regulations. For example, in addition to any similar applicable local anti-bribery laws, the Company's operations in countries outside the United States are subject to the FCPA, which prohibits United States companies or their employees and third party representatives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third party representatives with respect to the FCPA. However, the Company’s policies, procedures and programs may not always protect it from reckless or criminal acts committed by its employees or third party representatives, and severe criminal or civil sanctions could be the result of violations of the FCPA or any other applicable anti-bribery law in countries where the Company does business. The Company is also subject to the risks that its employees, joint venture partners, and third party representatives outside of the United States may fail to comply with other applicable laws.</w:t>
      </w:r>
    </w:p>
    <w:p>
      <w:pPr>
        <w:spacing w:after="0" w:line="166"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The Company is subject to risks associated with possible climate change legislation, regulation and international accords. </w:t>
      </w:r>
      <w:r>
        <w:rPr>
          <w:rFonts w:ascii="Times New Roman" w:cs="Times New Roman" w:eastAsia="Times New Roman" w:hAnsi="Times New Roman"/>
          <w:sz w:val="20"/>
          <w:szCs w:val="20"/>
          <w:color w:val="auto"/>
        </w:rPr>
        <w:t>Greenhouse gas emissions, including carbon emissions or energy use, have increasingly become the subject of a large amount of international, national, regional, state and local attention. International agreements and national, regional, and state legislation and regulatory measures that aim to directly or indirectly limit or reduce greenhouse gas emissions are in various stages of implementation.</w:t>
      </w:r>
    </w:p>
    <w:p>
      <w:pPr>
        <w:spacing w:after="0" w:line="16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United States Congress has considered, but has not passed, various bills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w:t>
      </w:r>
    </w:p>
    <w:p>
      <w:pPr>
        <w:sectPr>
          <w:pgSz w:w="12240" w:h="15840" w:orient="portrait"/>
          <w:cols w:equalWidth="0" w:num="1">
            <w:col w:w="10800"/>
          </w:cols>
          <w:pgMar w:left="720" w:top="930" w:right="720" w:bottom="187"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10800"/>
          </w:cols>
          <w:pgMar w:left="720" w:top="930" w:right="720" w:bottom="187" w:gutter="0" w:footer="0" w:header="0"/>
          <w:type w:val="continuous"/>
        </w:sectPr>
      </w:pPr>
    </w:p>
    <w:bookmarkStart w:id="38" w:name="page39"/>
    <w:bookmarkEnd w:id="38"/>
    <w:p>
      <w:pPr>
        <w:jc w:val="both"/>
        <w:ind w:firstLine="7"/>
        <w:spacing w:after="0" w:line="247" w:lineRule="auto"/>
        <w:rPr>
          <w:sz w:val="20"/>
          <w:szCs w:val="20"/>
          <w:color w:val="auto"/>
        </w:rPr>
      </w:pPr>
      <w:r>
        <w:rPr>
          <w:rFonts w:ascii="Times New Roman" w:cs="Times New Roman" w:eastAsia="Times New Roman" w:hAnsi="Times New Roman"/>
          <w:sz w:val="20"/>
          <w:szCs w:val="20"/>
          <w:color w:val="auto"/>
        </w:rPr>
        <w:t>obtain under cap-and-trade to cover the emissions from fuel production and the eventual use of fuel by the Company or its energ suppliers. In addition, cap-and-trade proposals would likely increase the cost of energy, including purchases of diesel fuel, steam and electricity, and 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relating to emissions of greenhouse gases could result in financial impacts on the Company’s operations that cannot be predicted with certainty at this time.</w:t>
      </w:r>
    </w:p>
    <w:p>
      <w:pPr>
        <w:spacing w:after="0" w:line="160" w:lineRule="exact"/>
        <w:rPr>
          <w:sz w:val="20"/>
          <w:szCs w:val="20"/>
          <w:color w:val="auto"/>
        </w:rPr>
      </w:pPr>
    </w:p>
    <w:p>
      <w:pPr>
        <w:jc w:val="both"/>
        <w:ind w:firstLine="365"/>
        <w:spacing w:after="0" w:line="247" w:lineRule="auto"/>
        <w:rPr>
          <w:sz w:val="20"/>
          <w:szCs w:val="20"/>
          <w:color w:val="auto"/>
        </w:rPr>
      </w:pPr>
      <w:r>
        <w:rPr>
          <w:rFonts w:ascii="Times New Roman" w:cs="Times New Roman" w:eastAsia="Times New Roman" w:hAnsi="Times New Roman"/>
          <w:sz w:val="20"/>
          <w:szCs w:val="20"/>
          <w:color w:val="auto"/>
        </w:rPr>
        <w:t>In addition, current global trends incorporating carbon neutral policies and reduction in greenhouse gas emissions are driving decarbonization initiatives across all industries to mitigate the impact on climate change and may result in a decline in global and U.S. hydrocarbon usage. Such a decline in hydrocarbon usage (for example, as a result of an increase in electric vehicles) could result in a reduction in demand for (a) the Company’s services in KMT to the extent there is reduced demand for crude oil and other feedstock used and the products produced by the Company’s major refining customers and (b) for the Company’s products and services in KDS to the extent there is reduced demand in the exploration and production of hydrocarbons by the Company’s oil and gas customers.</w:t>
      </w:r>
    </w:p>
    <w:p>
      <w:pPr>
        <w:spacing w:after="0" w:line="16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Loss of a large customer or changes in customer demand could adversely affect the Company. </w:t>
      </w:r>
      <w:r>
        <w:rPr>
          <w:rFonts w:ascii="Times New Roman" w:cs="Times New Roman" w:eastAsia="Times New Roman" w:hAnsi="Times New Roman"/>
          <w:sz w:val="20"/>
          <w:szCs w:val="20"/>
          <w:color w:val="auto"/>
        </w:rPr>
        <w:t>Five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KMT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approximately 17% of the Company’s 2025 revenue, 18% of 2024 revenue, and 16% of 2023 revenue. The Company has contracts with these customers expiring in 2026 through 2031. Three KDS customers accounted for approximately 9% of the Company’s 2025 revenue, 10% of 2024 revenue, and 12% of 2023 revenue. Although the Company considers its relationships with these companies to be strong, the loss of any of these customers, or their inability to meet financial obligations, could have an adverse effect on the Company. Recent growth in prime power (“behind the meter”) and data center demand has contributed to increased revenue in the</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power generation market in the KDS segment, and changes in customer demand in this area or other areas of business could have an adverse effect on the Company.</w:t>
      </w:r>
    </w:p>
    <w:p>
      <w:pPr>
        <w:spacing w:after="0" w:line="20" w:lineRule="exact"/>
        <w:rPr>
          <w:sz w:val="20"/>
          <w:szCs w:val="20"/>
          <w:color w:val="auto"/>
        </w:rPr>
      </w:pPr>
    </w:p>
    <w:p>
      <w:pPr>
        <w:spacing w:after="0" w:line="146"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The Company relies on critical operating assets including information systems for the operation of its businesses, and the fail r of such assets or any critical information system, including as a result of natural disasters, terrorist acts, a cybersecurity attack, or other extraordinary events, may adversely impact its businesses. </w:t>
      </w:r>
      <w:r>
        <w:rPr>
          <w:rFonts w:ascii="Times New Roman" w:cs="Times New Roman" w:eastAsia="Times New Roman" w:hAnsi="Times New Roman"/>
          <w:sz w:val="20"/>
          <w:szCs w:val="20"/>
          <w:color w:val="auto"/>
        </w:rPr>
        <w:t>The Company is dependent on its critical operating assets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infrastructure and must maintain and rely upon critical information systems and security of its assets for the effective and safe operation of its businesses. These assets include vessels, vessel equipment, property and facilities, as well as information systems, such as software applications, hardware equipment, and data networks and telecommunications.</w:t>
      </w:r>
    </w:p>
    <w:p>
      <w:pPr>
        <w:spacing w:after="0" w:line="15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Company’s critical assets and information systems, including the Company’s proprietary vessel management computer system, are subject to damage or interruption from a number of potential sources, including but not limited to, natural disasters terrorist acts, cybersecurity attacks, software viruses, and power failures. In addition to standard safety operating procedures, the Company has implemented measures such as business continuity plans, hurricane preparedness plans, emergency recovery processes, and security preparedness plans to protect physical assets and to recover from damage to such assets. The Company has also implemented virus protection software, intrusion detection systems and annual attack and penetration audits, and implemented employee training to protect information systems to mitigate these risks. However, the Company cannot guarantee that its critical assets or information systems cannot be damaged or compromised.</w:t>
      </w:r>
    </w:p>
    <w:p>
      <w:pPr>
        <w:spacing w:after="0" w:line="162" w:lineRule="exact"/>
        <w:rPr>
          <w:sz w:val="20"/>
          <w:szCs w:val="20"/>
          <w:color w:val="auto"/>
        </w:rPr>
      </w:pPr>
    </w:p>
    <w:p>
      <w:pPr>
        <w:jc w:val="both"/>
        <w:ind w:firstLine="362"/>
        <w:spacing w:after="0" w:line="245" w:lineRule="auto"/>
        <w:rPr>
          <w:sz w:val="20"/>
          <w:szCs w:val="20"/>
          <w:color w:val="auto"/>
        </w:rPr>
      </w:pPr>
      <w:r>
        <w:rPr>
          <w:rFonts w:ascii="Times New Roman" w:cs="Times New Roman" w:eastAsia="Times New Roman" w:hAnsi="Times New Roman"/>
          <w:sz w:val="20"/>
          <w:szCs w:val="20"/>
          <w:color w:val="auto"/>
        </w:rPr>
        <w:t>Any damage or compromise of its critical assets or data security or its inability to use or access these critical assets and information systems could adversely impact the efficient and safe operation of its businesses, or result in the failure to safely operate its equipment, and maintain the confidentiality of data of its customers or its employees and could subject the Company to increased operating expenses or legal action, which could have an adverse effect on the Company. Although to date no data breach or system disruption, including a cyber-attack, has resulted in a material cybersecurity incident for the Company, the Company cannot provide any assurances that such events and impacts will not be material in the future. The Company’s efforts to deter, identify, mitigat and/or eliminate future breaches may require significant additional effort and expense and may not be successful. For more information regarding the mitigation of cybersecurity risk, see Item 1C-Cybersecurity.</w:t>
      </w:r>
    </w:p>
    <w:p>
      <w:pPr>
        <w:spacing w:after="0" w:line="165"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Limitations on the Company’s ability to obtain, maintain, protect, or enforce its proprietary information and any successful intellectual property challenges or infringement proceedings, including its trade secrets could affect the Company's competitiv position. </w:t>
      </w:r>
      <w:r>
        <w:rPr>
          <w:rFonts w:ascii="Times New Roman" w:cs="Times New Roman" w:eastAsia="Times New Roman" w:hAnsi="Times New Roman"/>
          <w:sz w:val="20"/>
          <w:szCs w:val="20"/>
          <w:color w:val="auto"/>
        </w:rPr>
        <w:t>The Company’s businesses rely on a variety of intellectual property rights for its product and services.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intellectual property could be adversely affected by successful intellectual property challenges or infringement proceedings against it which could materially and adversely affect its competitive position. The Company may also be adversely affected when its intellectual property rights are unenforceable, such as where patent claims allowed are not sufficient to protect its technology or its trade secrets are not adequately protected. The Company's failure to protect its proprietary information and any successful challenges to the Company's intellectual property rights could have an adverse effect on the Company.</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10800"/>
          </w:cols>
          <w:pgMar w:left="720" w:top="929" w:right="720" w:bottom="187" w:gutter="0" w:footer="0" w:header="0"/>
          <w:type w:val="continuous"/>
        </w:sectPr>
      </w:pPr>
    </w:p>
    <w:bookmarkStart w:id="39" w:name="page40"/>
    <w:bookmarkEnd w:id="39"/>
    <w:p>
      <w:pPr>
        <w:jc w:val="both"/>
        <w:ind w:right="20"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A deterioration of the Company’s credit profile, disruptions of the credit markets or higher interest rates could restrict its ability to access the debt capital markets or increase the cost of debt. </w:t>
      </w:r>
      <w:r>
        <w:rPr>
          <w:rFonts w:ascii="Times New Roman" w:cs="Times New Roman" w:eastAsia="Times New Roman" w:hAnsi="Times New Roman"/>
          <w:sz w:val="20"/>
          <w:szCs w:val="20"/>
          <w:color w:val="auto"/>
        </w:rPr>
        <w:t>Deterioration in the Company’s credit profile may have an adverse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its cost of debt may increase, or the Company may not be able to refinance debt at the same level or on the same terms. Because the Company relies on its ability to draw on its Revolving Credit Facility to support its operations as needed, any volatility in the credit and financial markets that prevents the Company from accessing funds on acceptable terms could hav an adverse effect on the Company’s financial condition and cash flows. Additionally, the pricing grids on Company’s Revolving Credit Facility and Term Loan contain a ratings grid that includes a possible increase in borrowing rates if the Company’s rating declin s Furthermore, the Company incurs interest under its Revolving Credit Facility based on floating rates. Floating rate debt creates higher debt service requirements if market interest rates increase, which would adversely affect the Company’s cash flow and results of operations.</w:t>
      </w:r>
    </w:p>
    <w:p>
      <w:pPr>
        <w:spacing w:after="0" w:line="166"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Corporate responsibility, specifically related to ESG matters, may impose additional costs and expose the Company to new risks. </w:t>
      </w:r>
      <w:r>
        <w:rPr>
          <w:rFonts w:ascii="Times New Roman" w:cs="Times New Roman" w:eastAsia="Times New Roman" w:hAnsi="Times New Roman"/>
          <w:sz w:val="20"/>
          <w:szCs w:val="20"/>
          <w:color w:val="auto"/>
        </w:rPr>
        <w:t>There is an increasing focus from regulators, certain investors, and other stakeholders concerning environmental, social, and governance (“ESG”) matters, both in the United States and internationally. The Company communicates certain ESG-related initiatives, goals, and/or aspirations regarding environmental matters, diversity, responsible sourcing and social investments, and other matters in its annual Sustainability Report, on its website, in its filings with the SEC, and elsewhere. These initiatives, goals, or aspirations reflect the Company’s current plans and are not guarantees that the Company will be able to achieve them. The standards for tracking and reporting on ESG matters are relatively new, have not been harmonized and continue to evolve. Further, the statutory and regulatory requirements continue to evolve as well. In 2023, the State of California enacted climate related legislation, and in 2024 the SEC adopted climate disclosure rules, each of which are expected to impose additional reporting requirements on the Company resulting in additional compliance cost and expense. The California legislation is subject to ongoing litigation and regulatory rulemaking and enforcement of certain provisions have been stayed. Similarly, the SEC’s climate-related disclosure rul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subject to pending litigation, have been stayed and the SEC has withdrawn its defense of those rules. The Company’s selection of</w:t>
      </w:r>
    </w:p>
    <w:p>
      <w:pPr>
        <w:jc w:val="both"/>
        <w:ind w:right="20" w:firstLine="7"/>
        <w:spacing w:after="0"/>
        <w:rPr>
          <w:sz w:val="20"/>
          <w:szCs w:val="20"/>
          <w:color w:val="auto"/>
        </w:rPr>
      </w:pPr>
      <w:r>
        <w:rPr>
          <w:rFonts w:ascii="Times New Roman" w:cs="Times New Roman" w:eastAsia="Times New Roman" w:hAnsi="Times New Roman"/>
          <w:sz w:val="20"/>
          <w:szCs w:val="20"/>
          <w:color w:val="auto"/>
        </w:rPr>
        <w:t>disclosure frameworks that seek to align with various reporting standards may change from time to time and may result in a lack of comparative data from period to period. The Company’s sustainability -related initiatives, goals and/or aspirations may be difficult to achieve and costly to implement, and the Company may be unable to economically develop or deploy technologies to achieve such</w:t>
      </w:r>
    </w:p>
    <w:p>
      <w:pPr>
        <w:jc w:val="both"/>
        <w:ind w:right="20" w:firstLine="6"/>
        <w:spacing w:after="0"/>
        <w:rPr>
          <w:sz w:val="20"/>
          <w:szCs w:val="20"/>
          <w:color w:val="auto"/>
        </w:rPr>
      </w:pPr>
      <w:r>
        <w:rPr>
          <w:rFonts w:ascii="Times New Roman" w:cs="Times New Roman" w:eastAsia="Times New Roman" w:hAnsi="Times New Roman"/>
          <w:sz w:val="20"/>
          <w:szCs w:val="20"/>
          <w:color w:val="auto"/>
        </w:rPr>
        <w:t>initiatives, goals or aspirations, if at all. In addition, the Company could be criticized for the timing, scope or nature of these initiatives, goals, or aspirations, or for any revisions to them. As mandatory and voluntary disclosures about sustainability matters continues to evolve and increase, the Company may be penalized or criticized for the accuracy, adequacy, or completeness of such disclosures. The Company’s actual or perceived failure to report accurately or achieve its sustainability-related initiatives, goals, or aspirations could result in government enforcement action, negatively impact its reputation, result in sustainability-focused investors not purchasing and holding Company stock, or otherwise materially harm the Company’s business.</w:t>
      </w:r>
    </w:p>
    <w:p>
      <w:pPr>
        <w:spacing w:after="0" w:line="20" w:lineRule="exact"/>
        <w:rPr>
          <w:sz w:val="20"/>
          <w:szCs w:val="20"/>
          <w:color w:val="auto"/>
        </w:rPr>
      </w:pPr>
    </w:p>
    <w:p>
      <w:pPr>
        <w:spacing w:after="0" w:line="143"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Increased prices and inflation could negatively impact the Company’s margin performance and financial results. </w:t>
      </w:r>
      <w:r>
        <w:rPr>
          <w:rFonts w:ascii="Times New Roman" w:cs="Times New Roman" w:eastAsia="Times New Roman" w:hAnsi="Times New Roman"/>
          <w:sz w:val="20"/>
          <w:szCs w:val="20"/>
          <w:color w:val="auto"/>
        </w:rPr>
        <w:t>Increased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inflation, including rising prices for items, such as raw materials, fuel, parts and components, freight, packaging, supplies, labor and energy increases the Company’s costs to provide services and manufacture and distribute the Company’s products. The Company does not currently use financial derivatives to hedge against volatility in commodity prices. The Company uses market prices for materials, fuel, parts and components. The Company may be unable to pass these rising costs on to its customers. To mitigate this exposure, the Company attempts to include cost escalation clauses in its longer-term marine transportation contracts whereby certain costs, including fuel, can largely be passed through to its customers. In KDS, the cost of major components for large manufacturing orders is secured with suppliers at the time a customer order is finalized, which limits exposure to cost escalations. Results of operations and margin performance can be negatively affected if the Company is unable to mitigate the impact of these cost increases through contractual means and is unable to increase prices to sufficiently offset the effect of these cost increases.</w:t>
      </w:r>
    </w:p>
    <w:p>
      <w:pPr>
        <w:spacing w:after="0" w:line="192" w:lineRule="exact"/>
        <w:rPr>
          <w:sz w:val="20"/>
          <w:szCs w:val="20"/>
          <w:color w:val="auto"/>
        </w:rPr>
      </w:pPr>
    </w:p>
    <w:p>
      <w:pPr>
        <w:jc w:val="both"/>
        <w:ind w:right="20" w:firstLine="446"/>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The Company could be adversely impacted by materials shortages, delays, and disruptions in supply chain. </w:t>
      </w:r>
      <w:r>
        <w:rPr>
          <w:rFonts w:ascii="Times New Roman" w:cs="Times New Roman" w:eastAsia="Times New Roman" w:hAnsi="Times New Roman"/>
          <w:sz w:val="20"/>
          <w:szCs w:val="20"/>
          <w:color w:val="auto"/>
        </w:rPr>
        <w:t>Materials,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components, and equipment essential to the Company’s operations, such as original equipment manufacturer engines, transmissions generators, electrical components and steel, are normally readily available, but shortages as a result of supply chain disrupti ns can adversely impact the Company’s operations, particularly where the Company has a relationship with a single supplier for a particular resource. Many of the items essential to the Company’s business require the use of shipping services to transport them to the Company’s facilities. Shipping delays or disruptions may result in operational slowdowns, especially where materials, component , or equipment are necessary to complete a project or order for the Company’s customers, particularly in the manufacturing business of KDS. These constraints could have a material adverse effect on the Company and contribute to increased buildup of inventories. In addition, price increases imposed by the Company’s vendors for materials and shipping services used in its business, and the inability to pass these increases through to its customers, could have a material adverse effect on the Company.</w:t>
      </w:r>
    </w:p>
    <w:p>
      <w:pPr>
        <w:spacing w:after="0" w:line="165" w:lineRule="exact"/>
        <w:rPr>
          <w:sz w:val="20"/>
          <w:szCs w:val="20"/>
          <w:color w:val="auto"/>
        </w:rPr>
      </w:pPr>
    </w:p>
    <w:p>
      <w:pPr>
        <w:jc w:val="both"/>
        <w:ind w:right="20" w:firstLine="372"/>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Tariffs and other trade measures could adversely affect the Company’s business, financial condition and results of operations. </w:t>
      </w:r>
      <w:r>
        <w:rPr>
          <w:rFonts w:ascii="Times New Roman" w:cs="Times New Roman" w:eastAsia="Times New Roman" w:hAnsi="Times New Roman"/>
          <w:sz w:val="20"/>
          <w:szCs w:val="20"/>
          <w:color w:val="auto"/>
        </w:rPr>
        <w:t>Additional or new tariffs, trade restrictions, or other trade measures could adversely impact the Company’s input costs and suppl chain, which could reduce availability or increase the cost of goods sold to its customers, especially in KDS. Supply chain disruptions</w:t>
      </w:r>
    </w:p>
    <w:p>
      <w:pPr>
        <w:sectPr>
          <w:pgSz w:w="12240" w:h="15840" w:orient="portrait"/>
          <w:cols w:equalWidth="0" w:num="1">
            <w:col w:w="10820"/>
          </w:cols>
          <w:pgMar w:left="720" w:top="932" w:right="700" w:bottom="210" w:gutter="0" w:footer="0" w:header="0"/>
        </w:sectPr>
      </w:pP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28</w:t>
      </w:r>
    </w:p>
    <w:p>
      <w:pPr>
        <w:sectPr>
          <w:pgSz w:w="12240" w:h="15840" w:orient="portrait"/>
          <w:cols w:equalWidth="0" w:num="1">
            <w:col w:w="10820"/>
          </w:cols>
          <w:pgMar w:left="720" w:top="932" w:right="700" w:bottom="210" w:gutter="0" w:footer="0" w:header="0"/>
          <w:type w:val="continuous"/>
        </w:sectPr>
      </w:pPr>
    </w:p>
    <w:bookmarkStart w:id="40" w:name="page41"/>
    <w:bookmarkEnd w:id="40"/>
    <w:p>
      <w:pPr>
        <w:jc w:val="both"/>
        <w:spacing w:after="0" w:line="259" w:lineRule="auto"/>
        <w:rPr>
          <w:sz w:val="20"/>
          <w:szCs w:val="20"/>
          <w:color w:val="auto"/>
        </w:rPr>
      </w:pPr>
      <w:r>
        <w:rPr>
          <w:rFonts w:ascii="Times New Roman" w:cs="Times New Roman" w:eastAsia="Times New Roman" w:hAnsi="Times New Roman"/>
          <w:sz w:val="20"/>
          <w:szCs w:val="20"/>
          <w:color w:val="auto"/>
        </w:rPr>
        <w:t>can adversely impact the Company’s operations, particularly where supply chain delays adversely impact availability of materials, components, and equipment necessary for construction, maintenance or repair, including with regard to KMT vessels or in KDS</w:t>
      </w:r>
    </w:p>
    <w:p>
      <w:pPr>
        <w:spacing w:after="0" w:line="1" w:lineRule="exact"/>
        <w:rPr>
          <w:sz w:val="20"/>
          <w:szCs w:val="20"/>
          <w:color w:val="auto"/>
        </w:rPr>
      </w:pPr>
    </w:p>
    <w:p>
      <w:pPr>
        <w:jc w:val="both"/>
        <w:ind w:hanging="5"/>
        <w:spacing w:after="0" w:line="235" w:lineRule="auto"/>
        <w:rPr>
          <w:sz w:val="20"/>
          <w:szCs w:val="20"/>
          <w:color w:val="auto"/>
        </w:rPr>
      </w:pPr>
      <w:r>
        <w:rPr>
          <w:rFonts w:ascii="Times New Roman" w:cs="Times New Roman" w:eastAsia="Times New Roman" w:hAnsi="Times New Roman"/>
          <w:sz w:val="20"/>
          <w:szCs w:val="20"/>
          <w:color w:val="auto"/>
        </w:rPr>
        <w:t>manufacturing. In KMT, Company also transports customer cargoes that are imported into the U.S. or which are destined for export from the U.S. Trade discussions and arrangements between the U.S. and various of its trading partners are fluid, and existing and</w:t>
      </w:r>
    </w:p>
    <w:p>
      <w:pPr>
        <w:spacing w:after="0" w:line="20" w:lineRule="exact"/>
        <w:rPr>
          <w:sz w:val="20"/>
          <w:szCs w:val="20"/>
          <w:color w:val="auto"/>
        </w:rPr>
      </w:pPr>
    </w:p>
    <w:p>
      <w:pPr>
        <w:jc w:val="both"/>
        <w:ind w:firstLine="8"/>
        <w:spacing w:after="0"/>
        <w:rPr>
          <w:sz w:val="20"/>
          <w:szCs w:val="20"/>
          <w:color w:val="auto"/>
        </w:rPr>
      </w:pPr>
      <w:r>
        <w:rPr>
          <w:rFonts w:ascii="Times New Roman" w:cs="Times New Roman" w:eastAsia="Times New Roman" w:hAnsi="Times New Roman"/>
          <w:sz w:val="20"/>
          <w:szCs w:val="20"/>
          <w:color w:val="auto"/>
        </w:rPr>
        <w:t>future trade agreements are, and are expected to continue to be, subject to a number of uncertainties, including the imposition of new tariffs or adjustments and changes to the products or materials covered by existing tariffs. Any decision by the U.S. government to adopt actions such as an increase in customs duties or tariffs, or the renegotiation of U.S. trade agreements, or any other action that could have a negative impact on international trade, including corresponding actions taken by other countries in response to U. S. governmental actions, could cause an increase to the cost of goods sold to KDS customers, adversely impact operations in KMT through interruptions in customer trade patterns or volumes, and adversely impact input costs and supply chain in both segments. To</w:t>
      </w:r>
    </w:p>
    <w:p>
      <w:pPr>
        <w:jc w:val="both"/>
        <w:ind w:firstLine="2"/>
        <w:spacing w:after="0" w:line="242" w:lineRule="auto"/>
        <w:rPr>
          <w:sz w:val="20"/>
          <w:szCs w:val="20"/>
          <w:color w:val="auto"/>
        </w:rPr>
      </w:pPr>
      <w:r>
        <w:rPr>
          <w:rFonts w:ascii="Times New Roman" w:cs="Times New Roman" w:eastAsia="Times New Roman" w:hAnsi="Times New Roman"/>
          <w:sz w:val="20"/>
          <w:szCs w:val="20"/>
          <w:color w:val="auto"/>
        </w:rPr>
        <w:t>the extent possible, the Company seeks to include contractual language to address recovery of increased costs related to tariffs in the KDS segment although there can be no assurance that such provisions will fully offset the impact of changes in trade policies. Any changes in trade policies in the U.S. and corresponding actions by other countries could adversely impact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-532130</wp:posOffset>
            </wp:positionV>
            <wp:extent cx="8255" cy="57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extLst>
                    </a:blip>
                    <a:srcRect/>
                    <a:stretch>
                      <a:fillRect/>
                    </a:stretch>
                  </pic:blipFill>
                  <pic:spPr bwMode="auto">
                    <a:xfrm>
                      <a:off x="0" y="0"/>
                      <a:ext cx="8255" cy="57785"/>
                    </a:xfrm>
                    <a:prstGeom prst="rect">
                      <a:avLst/>
                    </a:prstGeom>
                    <a:noFill/>
                  </pic:spPr>
                </pic:pic>
              </a:graphicData>
            </a:graphic>
          </wp:anchor>
        </w:drawing>
      </w:r>
    </w:p>
    <w:p>
      <w:pPr>
        <w:spacing w:after="0" w:line="176"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Continuing impacts resulting from actual or threatened health epidemics, and pandemics or other major health crises could materially and adversely affect the Company’s business, financial condition and results of operations. </w:t>
      </w:r>
      <w:r>
        <w:rPr>
          <w:rFonts w:ascii="Times New Roman" w:cs="Times New Roman" w:eastAsia="Times New Roman" w:hAnsi="Times New Roman"/>
          <w:sz w:val="20"/>
          <w:szCs w:val="20"/>
          <w:color w:val="auto"/>
        </w:rPr>
        <w:t>The Company’s business could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impacted adversely by the effects of public health epidemics, pandemics or other major heath crises (which are referred to collectively as public health crises). Actual or threatened public health crises may have a number of adverse impacts, includin</w:t>
      </w:r>
    </w:p>
    <w:p>
      <w:pPr>
        <w:spacing w:after="0" w:line="4"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volatility in the global economy, impacts to the Company’s customers’ business operations, or significant disruptions in waterborn transportation of cargoes, and supply chain activity, caused by a variety of factors such as quarantines, supplier factory and office closures, or other government-imposed restrictions, any of which could adversely impact the Company’s business, financial condition, and results of operations.</w:t>
      </w:r>
    </w:p>
    <w:p>
      <w:pPr>
        <w:spacing w:after="0" w:line="20" w:lineRule="exact"/>
        <w:rPr>
          <w:sz w:val="20"/>
          <w:szCs w:val="20"/>
          <w:color w:val="auto"/>
        </w:rPr>
      </w:pPr>
    </w:p>
    <w:p>
      <w:pPr>
        <w:spacing w:after="0" w:line="173"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20"/>
          <w:szCs w:val="20"/>
          <w:color w:val="auto"/>
        </w:rPr>
        <w:t>The Company is unable to predict the extent to which major health crisis or other public health threats that may arise in the future may affect the global and United States economies and supply chain, which could have a material impact on its business. The degree to which any future disease outbreaks or public health threats may impact the Company’s revenues, results of operations and financial condition is uncertain and will depend on future developments. The impact of epidemics, pandemics or other major health crises may also exacerbate other risks discussed above, any of which could have a material effect on the Company.</w:t>
      </w:r>
    </w:p>
    <w:p>
      <w:pPr>
        <w:spacing w:after="0" w:line="153" w:lineRule="exact"/>
        <w:rPr>
          <w:sz w:val="20"/>
          <w:szCs w:val="20"/>
          <w:color w:val="auto"/>
        </w:rPr>
      </w:pPr>
    </w:p>
    <w:p>
      <w:pPr>
        <w:jc w:val="center"/>
        <w:ind w:right="7700"/>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204"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20"/>
          <w:szCs w:val="20"/>
          <w:color w:val="auto"/>
        </w:rPr>
        <w:t>Not applicable.</w:t>
      </w:r>
    </w:p>
    <w:p>
      <w:pPr>
        <w:spacing w:after="0" w:line="197"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9"/>
          <w:szCs w:val="19"/>
          <w:b w:val="1"/>
          <w:bCs w:val="1"/>
          <w:color w:val="auto"/>
        </w:rPr>
        <w:t xml:space="preserve">Item 1C. </w:t>
      </w:r>
      <w:r>
        <w:rPr>
          <w:rFonts w:ascii="Times New Roman" w:cs="Times New Roman" w:eastAsia="Times New Roman" w:hAnsi="Times New Roman"/>
          <w:sz w:val="19"/>
          <w:szCs w:val="19"/>
          <w:b w:val="1"/>
          <w:bCs w:val="1"/>
          <w:i w:val="1"/>
          <w:iCs w:val="1"/>
          <w:color w:val="auto"/>
        </w:rPr>
        <w:t>Cybersecurity</w:t>
      </w:r>
    </w:p>
    <w:p>
      <w:pPr>
        <w:spacing w:after="0" w:line="215"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Company is committed to maintaining appropriate governance and oversight of cybersecurity risks and to implementing processes, controls and technologies designed to help assess, identify, and manage material risks from cybersecurity threats. The Company’s Board of Directors has ultimate oversight of cybersecurity risks, which it manages as part of the Company’s enterprise risk management program. The Audit Committee assists the Board in its oversight by reviewing the Company’s information security programs, including review of cybersecurity processes, procedures and safeguards. To more effectively prevent, detect and respond to information security threats, the Company maintains a cyber risk management program, which is aligned with the National Institute of Standards and Technology (“NIST”) Cybersecurity Framework. The Cyber Risk Management program is overseen by the Company’s executive officer, the Vice President and Chief Information Officer, who is responsible for leading the Company’s cybersecurity strategy, policies, standards, and processes. The Vice President and Chief Information Officer has relevant experience assessing and managing cybersecurity programs and risks and has served in this position since 2019. The Vice President and Chief Information Officer is supported by the Director of IT Operations &amp; Security, who reports directly to the Vice President and Chief Information Officer. The Audit Committee receives regular reports from the Vice President and Chief Information Officer on, among other things, the Company’s cybersecurity risks and threats, assessments of the Company’s cybersecurity program and developments in the threat landscape. Additionally, the Vice President and Chief Information Officer chairs the Company’s Cybersecurity Governance Committee, which is intended to promote coordination, awareness, accountability and alignment across broad governance and risk stakeholder groups for effective cybersecurity risk management and reporting. The Company maintains a documented incident response process, pursuant to which cybersecurity incidents are escalated to the Company’s senior management, including the CEO and Board, as appropriate. As part of its incident response plan, the Company has preidentified consultants and advisors to assist with any potential response.</w:t>
      </w:r>
    </w:p>
    <w:p>
      <w:pPr>
        <w:spacing w:after="0" w:line="16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annually engages third parties such as assessors, consultants and auditors (as well as its internal audit department) to evaluate the Company’s information security programs, whose findings are reported to the Audit Committee. The Company also engages with key vendors, industry participants, and the U.S. Coast Guard as part of its efforts, which are reported to the Audit Committee.</w:t>
      </w:r>
    </w:p>
    <w:p>
      <w:pPr>
        <w:sectPr>
          <w:pgSz w:w="12240" w:h="15840" w:orient="portrait"/>
          <w:cols w:equalWidth="0" w:num="1">
            <w:col w:w="10800"/>
          </w:cols>
          <w:pgMar w:left="720" w:top="929" w:right="720" w:bottom="187"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10800"/>
          </w:cols>
          <w:pgMar w:left="720" w:top="929" w:right="720" w:bottom="187" w:gutter="0" w:footer="0" w:header="0"/>
          <w:type w:val="continuous"/>
        </w:sectPr>
      </w:pPr>
    </w:p>
    <w:bookmarkStart w:id="41" w:name="page42"/>
    <w:bookmarkEnd w:id="41"/>
    <w:p>
      <w:pPr>
        <w:ind w:left="360"/>
        <w:spacing w:after="0"/>
        <w:rPr>
          <w:sz w:val="20"/>
          <w:szCs w:val="20"/>
          <w:color w:val="auto"/>
        </w:rPr>
      </w:pPr>
      <w:r>
        <w:rPr>
          <w:rFonts w:ascii="Times New Roman" w:cs="Times New Roman" w:eastAsia="Times New Roman" w:hAnsi="Times New Roman"/>
          <w:sz w:val="20"/>
          <w:szCs w:val="20"/>
          <w:color w:val="auto"/>
        </w:rPr>
        <w:t>The Company’s approach to cybersecurity risk management includes, among other things, the following key elements:</w:t>
      </w: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Continuous monitoring – The Company monitors for cybersecurity threats, including those risks associated with its use of</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third-party vendors using a combination of internal processes and threat intelligence.</w:t>
      </w:r>
    </w:p>
    <w:p>
      <w:pPr>
        <w:spacing w:after="0" w:line="8" w:lineRule="exact"/>
        <w:rPr>
          <w:sz w:val="20"/>
          <w:szCs w:val="20"/>
          <w:color w:val="auto"/>
        </w:rPr>
      </w:pPr>
    </w:p>
    <w:p>
      <w:pPr>
        <w:jc w:val="both"/>
        <w:ind w:left="980"/>
        <w:spacing w:after="0" w:line="247" w:lineRule="auto"/>
        <w:rPr>
          <w:sz w:val="20"/>
          <w:szCs w:val="20"/>
          <w:color w:val="auto"/>
        </w:rPr>
      </w:pPr>
      <w:r>
        <w:rPr>
          <w:rFonts w:ascii="Times New Roman" w:cs="Times New Roman" w:eastAsia="Times New Roman" w:hAnsi="Times New Roman"/>
          <w:sz w:val="20"/>
          <w:szCs w:val="20"/>
          <w:color w:val="auto"/>
        </w:rPr>
        <w:t>Third party risk assessments – The Company periodically engages third party consultants or other advisors to assist in assessing vulnerabilities in its information security environment.</w:t>
      </w:r>
    </w:p>
    <w:p>
      <w:pPr>
        <w:spacing w:after="0" w:line="1" w:lineRule="exact"/>
        <w:rPr>
          <w:sz w:val="20"/>
          <w:szCs w:val="20"/>
          <w:color w:val="auto"/>
        </w:rPr>
      </w:pPr>
    </w:p>
    <w:p>
      <w:pPr>
        <w:jc w:val="both"/>
        <w:ind w:left="980" w:firstLine="5"/>
        <w:spacing w:after="0" w:line="247" w:lineRule="auto"/>
        <w:rPr>
          <w:sz w:val="20"/>
          <w:szCs w:val="20"/>
          <w:color w:val="auto"/>
        </w:rPr>
      </w:pPr>
      <w:r>
        <w:rPr>
          <w:rFonts w:ascii="Times New Roman" w:cs="Times New Roman" w:eastAsia="Times New Roman" w:hAnsi="Times New Roman"/>
          <w:sz w:val="20"/>
          <w:szCs w:val="20"/>
          <w:color w:val="auto"/>
        </w:rPr>
        <w:t>Internal threats – The Company maintains programs designed to monitor and address cybersecurity risk arising from within the Company.</w:t>
      </w:r>
    </w:p>
    <w:p>
      <w:pPr>
        <w:spacing w:after="0" w:line="1" w:lineRule="exact"/>
        <w:rPr>
          <w:sz w:val="20"/>
          <w:szCs w:val="20"/>
          <w:color w:val="auto"/>
        </w:rPr>
      </w:pPr>
    </w:p>
    <w:p>
      <w:pPr>
        <w:jc w:val="both"/>
        <w:ind w:left="980" w:firstLine="2"/>
        <w:spacing w:after="0" w:line="247" w:lineRule="auto"/>
        <w:rPr>
          <w:sz w:val="20"/>
          <w:szCs w:val="20"/>
          <w:color w:val="auto"/>
        </w:rPr>
      </w:pPr>
      <w:r>
        <w:rPr>
          <w:rFonts w:ascii="Times New Roman" w:cs="Times New Roman" w:eastAsia="Times New Roman" w:hAnsi="Times New Roman"/>
          <w:sz w:val="20"/>
          <w:szCs w:val="20"/>
          <w:color w:val="auto"/>
        </w:rPr>
        <w:t>Vendor risk management – The Company assesses cybersecurity risks associated with vendors who are critical digital partners in order and seeks to include risk appropriate terms and conditions in its vendor contracts.</w:t>
      </w:r>
    </w:p>
    <w:p>
      <w:pPr>
        <w:spacing w:after="0" w:line="1" w:lineRule="exact"/>
        <w:rPr>
          <w:sz w:val="20"/>
          <w:szCs w:val="20"/>
          <w:color w:val="auto"/>
        </w:rPr>
      </w:pPr>
    </w:p>
    <w:p>
      <w:pPr>
        <w:jc w:val="both"/>
        <w:ind w:left="980"/>
        <w:spacing w:after="0" w:line="241" w:lineRule="auto"/>
        <w:rPr>
          <w:sz w:val="20"/>
          <w:szCs w:val="20"/>
          <w:color w:val="auto"/>
        </w:rPr>
      </w:pPr>
      <w:r>
        <w:rPr>
          <w:rFonts w:ascii="Times New Roman" w:cs="Times New Roman" w:eastAsia="Times New Roman" w:hAnsi="Times New Roman"/>
          <w:sz w:val="20"/>
          <w:szCs w:val="20"/>
          <w:color w:val="auto"/>
        </w:rPr>
        <w:t>Training and Awareness – The Company has various information technology policies, that relate to cybersecurity. The Company provides employee education and training that reinforces its information technology policies, standards and practices, as well as the expectation that employees comply with these policies. This training empowers employees to identify and report potential cybersecurity risks and protect the Company’s resources and information. This training is mandatory for all employees globally and is administered on an annual basis, and it is supplemented by Company-wide testing initiatives, including periodic phishing tests. Further education is provided at operations meetings to raise awareness and educate on current topics. The Company provides specialized security training for certain employee roles. The Company also requires employees to sign confidentiality agreements, where appropriate to their role. The Company has also adopted an Artificial Intelligence Use Policy to mitigate cybersecurity and other risks associated with use of artificial intelligence technology.</w:t>
      </w:r>
    </w:p>
    <w:p>
      <w:pPr>
        <w:spacing w:after="0" w:line="16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continues to enhance its cybersecurity controls and processes. While the Company has not, as of the date of this Form 10-K, identified a cybersecurity threat or incident that resulted in a material adverse impact to its business, results of operations or financial condition, there can be no assurance that the Company will not experience a cybersecurity incident in the future or that its response to any such incident would be sufficient to prevent material adverse effects. For more information regarding the risks the Company faces from cybersecurity threats, please see Item 1A-Risk Factors.</w:t>
      </w: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29" w:right="720" w:bottom="176"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i w:val="1"/>
          <w:iCs w:val="1"/>
          <w:color w:val="auto"/>
        </w:rPr>
        <w:t>Properties</w:t>
      </w:r>
    </w:p>
    <w:p>
      <w:pPr>
        <w:spacing w:after="0" w:line="20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principal offices of the Company are located in Houston, Texas. The Company believes that its facilities are adequate for its needs and additional facilities would be available if required. The Company’s significant operating shoreside facilities include the following locations:</w:t>
      </w:r>
    </w:p>
    <w:p>
      <w:pPr>
        <w:sectPr>
          <w:pgSz w:w="12240" w:h="15840" w:orient="portrait"/>
          <w:cols w:equalWidth="0" w:num="1">
            <w:col w:w="10800"/>
          </w:cols>
          <w:pgMar w:left="720" w:top="926" w:right="720" w:bottom="187"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Building(s) Size</w:t>
            </w: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15"/>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rPr>
              <w:t>(Approximate Square</w:t>
            </w:r>
          </w:p>
        </w:tc>
        <w:tc>
          <w:tcPr>
            <w:tcW w:w="0" w:type="dxa"/>
            <w:vAlign w:val="bottom"/>
          </w:tcPr>
          <w:p>
            <w:pPr>
              <w:spacing w:after="0"/>
              <w:rPr>
                <w:sz w:val="1"/>
                <w:szCs w:val="1"/>
                <w:color w:val="auto"/>
              </w:rPr>
            </w:pPr>
          </w:p>
        </w:tc>
      </w:tr>
      <w:tr>
        <w:trPr>
          <w:trHeight w:val="229"/>
        </w:trPr>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76"/>
              </w:rPr>
              <w:t>Feet)</w:t>
            </w:r>
          </w:p>
        </w:tc>
        <w:tc>
          <w:tcPr>
            <w:tcW w:w="0" w:type="dxa"/>
            <w:vAlign w:val="bottom"/>
          </w:tcPr>
          <w:p>
            <w:pPr>
              <w:spacing w:after="0"/>
              <w:rPr>
                <w:sz w:val="1"/>
                <w:szCs w:val="1"/>
                <w:color w:val="auto"/>
              </w:rPr>
            </w:pPr>
          </w:p>
        </w:tc>
      </w:tr>
      <w:tr>
        <w:trPr>
          <w:trHeight w:val="178"/>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1"/>
          </w:tcPr>
          <w:p>
            <w:pPr>
              <w:jc w:val="center"/>
              <w:ind w:right="14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KMT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40" w:type="dxa"/>
            <w:vAlign w:val="bottom"/>
            <w:gridSpan w:val="31"/>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Baton Rouge, Louisiana</w:t>
            </w: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bottom w:val="single" w:sz="8" w:color="EAEAEA"/>
            </w:tcBorders>
            <w:gridSpan w:val="31"/>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0" w:type="dxa"/>
            <w:vAlign w:val="bottom"/>
            <w:gridSpan w:val="9"/>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20,700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8"/>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Channelview, Texas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gridSpan w:val="15"/>
          </w:tcPr>
          <w:p>
            <w:pPr>
              <w:jc w:val="center"/>
              <w:ind w:left="820"/>
              <w:spacing w:after="0"/>
              <w:rPr>
                <w:sz w:val="20"/>
                <w:szCs w:val="20"/>
                <w:color w:val="auto"/>
              </w:rPr>
            </w:pPr>
            <w:r>
              <w:rPr>
                <w:rFonts w:ascii="Times New Roman" w:cs="Times New Roman" w:eastAsia="Times New Roman" w:hAnsi="Times New Roman"/>
                <w:sz w:val="16"/>
                <w:szCs w:val="16"/>
                <w:color w:val="auto"/>
                <w:w w:val="96"/>
              </w:rPr>
              <w:t>107,700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8"/>
            <w:vMerge w:val="restart"/>
            <w:shd w:val="clear" w:color="auto" w:fill="EAEAEA"/>
          </w:tcPr>
          <w:p>
            <w:pPr>
              <w:jc w:val="center"/>
              <w:ind w:right="20"/>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Corpus Christi, Texas</w:t>
            </w: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Borders>
              <w:bottom w:val="single" w:sz="8" w:color="EAEAEA"/>
            </w:tcBorders>
            <w:gridSpan w:val="28"/>
            <w:vMerge w:val="continue"/>
            <w:shd w:val="clear" w:color="auto" w:fill="EAEAEA"/>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60" w:type="dxa"/>
            <w:vAlign w:val="bottom"/>
            <w:gridSpan w:val="3"/>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w w:val="88"/>
                <w:shd w:val="clear" w:color="auto" w:fill="EAEAEA"/>
              </w:rPr>
              <w:t>3,600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21"/>
          </w:tcPr>
          <w:p>
            <w:pPr>
              <w:jc w:val="center"/>
              <w:ind w:right="200"/>
              <w:spacing w:after="0"/>
              <w:rPr>
                <w:sz w:val="20"/>
                <w:szCs w:val="20"/>
                <w:color w:val="auto"/>
              </w:rPr>
            </w:pPr>
            <w:r>
              <w:rPr>
                <w:rFonts w:ascii="Times New Roman" w:cs="Times New Roman" w:eastAsia="Times New Roman" w:hAnsi="Times New Roman"/>
                <w:sz w:val="16"/>
                <w:szCs w:val="16"/>
                <w:color w:val="auto"/>
                <w:w w:val="99"/>
              </w:rPr>
              <w:t>Freeport, Texas</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13"/>
          </w:tcPr>
          <w:p>
            <w:pPr>
              <w:jc w:val="center"/>
              <w:ind w:left="900"/>
              <w:spacing w:after="0"/>
              <w:rPr>
                <w:sz w:val="20"/>
                <w:szCs w:val="20"/>
                <w:color w:val="auto"/>
              </w:rPr>
            </w:pPr>
            <w:r>
              <w:rPr>
                <w:rFonts w:ascii="Times New Roman" w:cs="Times New Roman" w:eastAsia="Times New Roman" w:hAnsi="Times New Roman"/>
                <w:sz w:val="16"/>
                <w:szCs w:val="16"/>
                <w:color w:val="auto"/>
                <w:w w:val="94"/>
              </w:rPr>
              <w:t>6,500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12"/>
            <w:shd w:val="clear" w:color="auto" w:fill="EAEAEA"/>
          </w:tcPr>
          <w:p>
            <w:pPr>
              <w:jc w:val="center"/>
              <w:spacing w:after="0" w:line="135" w:lineRule="exact"/>
              <w:rPr>
                <w:sz w:val="20"/>
                <w:szCs w:val="20"/>
                <w:color w:val="auto"/>
              </w:rPr>
            </w:pPr>
            <w:r>
              <w:rPr>
                <w:rFonts w:ascii="Times New Roman" w:cs="Times New Roman" w:eastAsia="Times New Roman" w:hAnsi="Times New Roman"/>
                <w:sz w:val="15"/>
                <w:szCs w:val="15"/>
                <w:color w:val="auto"/>
                <w:shd w:val="clear" w:color="auto" w:fill="EAEAEA"/>
              </w:rPr>
              <w:t>Houston, Texas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380" w:type="dxa"/>
            <w:vAlign w:val="bottom"/>
            <w:gridSpan w:val="8"/>
            <w:shd w:val="clear" w:color="auto" w:fill="EAEAEA"/>
          </w:tcPr>
          <w:p>
            <w:pPr>
              <w:jc w:val="center"/>
              <w:spacing w:after="0" w:line="135" w:lineRule="exact"/>
              <w:rPr>
                <w:sz w:val="20"/>
                <w:szCs w:val="20"/>
                <w:color w:val="auto"/>
              </w:rPr>
            </w:pPr>
            <w:r>
              <w:rPr>
                <w:rFonts w:ascii="Times New Roman" w:cs="Times New Roman" w:eastAsia="Times New Roman" w:hAnsi="Times New Roman"/>
                <w:sz w:val="15"/>
                <w:szCs w:val="15"/>
                <w:color w:val="auto"/>
                <w:w w:val="91"/>
                <w:shd w:val="clear" w:color="auto" w:fill="EAEAEA"/>
              </w:rPr>
              <w:t>73,000</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35"/>
          </w:tcPr>
          <w:p>
            <w:pPr>
              <w:jc w:val="center"/>
              <w:ind w:right="800"/>
              <w:spacing w:after="0"/>
              <w:rPr>
                <w:sz w:val="20"/>
                <w:szCs w:val="20"/>
                <w:color w:val="auto"/>
              </w:rPr>
            </w:pPr>
            <w:r>
              <w:rPr>
                <w:rFonts w:ascii="Times New Roman" w:cs="Times New Roman" w:eastAsia="Times New Roman" w:hAnsi="Times New Roman"/>
                <w:sz w:val="16"/>
                <w:szCs w:val="16"/>
                <w:color w:val="auto"/>
                <w:w w:val="99"/>
              </w:rPr>
              <w:t>Lake Charles, Louisiana</w:t>
            </w:r>
          </w:p>
        </w:tc>
        <w:tc>
          <w:tcPr>
            <w:tcW w:w="1320" w:type="dxa"/>
            <w:vAlign w:val="bottom"/>
            <w:gridSpan w:val="13"/>
          </w:tcPr>
          <w:p>
            <w:pPr>
              <w:jc w:val="center"/>
              <w:ind w:left="900"/>
              <w:spacing w:after="0"/>
              <w:rPr>
                <w:sz w:val="20"/>
                <w:szCs w:val="20"/>
                <w:color w:val="auto"/>
              </w:rPr>
            </w:pPr>
            <w:r>
              <w:rPr>
                <w:rFonts w:ascii="Times New Roman" w:cs="Times New Roman" w:eastAsia="Times New Roman" w:hAnsi="Times New Roman"/>
                <w:sz w:val="16"/>
                <w:szCs w:val="16"/>
                <w:color w:val="auto"/>
                <w:w w:val="91"/>
              </w:rPr>
              <w:t>500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0" w:type="dxa"/>
            <w:vAlign w:val="bottom"/>
            <w:gridSpan w:val="10"/>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Miami, Florida</w:t>
            </w: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10"/>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40" w:type="dxa"/>
            <w:vAlign w:val="bottom"/>
            <w:gridSpan w:val="2"/>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w w:val="81"/>
                <w:shd w:val="clear" w:color="auto" w:fill="EAEAEA"/>
              </w:rPr>
              <w:t>8,500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gridSpan w:val="29"/>
          </w:tcPr>
          <w:p>
            <w:pPr>
              <w:jc w:val="center"/>
              <w:ind w:right="960"/>
              <w:spacing w:after="0"/>
              <w:rPr>
                <w:sz w:val="20"/>
                <w:szCs w:val="20"/>
                <w:color w:val="auto"/>
              </w:rPr>
            </w:pPr>
            <w:r>
              <w:rPr>
                <w:rFonts w:ascii="Times New Roman" w:cs="Times New Roman" w:eastAsia="Times New Roman" w:hAnsi="Times New Roman"/>
                <w:sz w:val="16"/>
                <w:szCs w:val="16"/>
                <w:color w:val="auto"/>
              </w:rPr>
              <w:t>Port Arthur, Texas</w:t>
            </w:r>
          </w:p>
        </w:tc>
        <w:tc>
          <w:tcPr>
            <w:tcW w:w="1320" w:type="dxa"/>
            <w:vAlign w:val="bottom"/>
            <w:gridSpan w:val="13"/>
          </w:tcPr>
          <w:p>
            <w:pPr>
              <w:jc w:val="center"/>
              <w:ind w:left="900"/>
              <w:spacing w:after="0"/>
              <w:rPr>
                <w:sz w:val="20"/>
                <w:szCs w:val="20"/>
                <w:color w:val="auto"/>
              </w:rPr>
            </w:pPr>
            <w:r>
              <w:rPr>
                <w:rFonts w:ascii="Times New Roman" w:cs="Times New Roman" w:eastAsia="Times New Roman" w:hAnsi="Times New Roman"/>
                <w:sz w:val="16"/>
                <w:szCs w:val="16"/>
                <w:color w:val="auto"/>
                <w:w w:val="94"/>
              </w:rPr>
              <w:t>1,000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260" w:type="dxa"/>
            <w:vAlign w:val="bottom"/>
            <w:gridSpan w:val="2"/>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1"/>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Seattle, Washington</w:t>
            </w: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bottom w:val="single" w:sz="8" w:color="EAEAEA"/>
            </w:tcBorders>
            <w:gridSpan w:val="21"/>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20" w:type="dxa"/>
            <w:vAlign w:val="bottom"/>
            <w:gridSpan w:val="5"/>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w w:val="89"/>
                <w:shd w:val="clear" w:color="auto" w:fill="EAEAEA"/>
              </w:rPr>
              <w:t>10,200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2420" w:type="dxa"/>
            <w:vAlign w:val="bottom"/>
            <w:gridSpan w:val="36"/>
          </w:tcPr>
          <w:p>
            <w:pPr>
              <w:jc w:val="center"/>
              <w:ind w:right="760"/>
              <w:spacing w:after="0"/>
              <w:rPr>
                <w:sz w:val="20"/>
                <w:szCs w:val="20"/>
                <w:color w:val="auto"/>
              </w:rPr>
            </w:pPr>
            <w:r>
              <w:rPr>
                <w:rFonts w:ascii="Times New Roman" w:cs="Times New Roman" w:eastAsia="Times New Roman" w:hAnsi="Times New Roman"/>
                <w:sz w:val="16"/>
                <w:szCs w:val="16"/>
                <w:color w:val="auto"/>
                <w:w w:val="99"/>
              </w:rPr>
              <w:t>Staten Island, New York</w:t>
            </w:r>
          </w:p>
        </w:tc>
        <w:tc>
          <w:tcPr>
            <w:tcW w:w="1320" w:type="dxa"/>
            <w:vAlign w:val="bottom"/>
            <w:gridSpan w:val="13"/>
          </w:tcPr>
          <w:p>
            <w:pPr>
              <w:jc w:val="center"/>
              <w:ind w:left="900"/>
              <w:spacing w:after="0"/>
              <w:rPr>
                <w:sz w:val="20"/>
                <w:szCs w:val="20"/>
                <w:color w:val="auto"/>
              </w:rPr>
            </w:pPr>
            <w:r>
              <w:rPr>
                <w:rFonts w:ascii="Times New Roman" w:cs="Times New Roman" w:eastAsia="Times New Roman" w:hAnsi="Times New Roman"/>
                <w:sz w:val="16"/>
                <w:szCs w:val="16"/>
                <w:color w:val="auto"/>
                <w:w w:val="94"/>
              </w:rPr>
              <w:t>7,800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260" w:type="dxa"/>
            <w:vAlign w:val="bottom"/>
            <w:gridSpan w:val="2"/>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5"/>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Westwego, Louisiana</w:t>
            </w: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25"/>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20" w:type="dxa"/>
            <w:vAlign w:val="bottom"/>
            <w:gridSpan w:val="5"/>
            <w:shd w:val="clear" w:color="auto" w:fill="EAEAEA"/>
          </w:tcPr>
          <w:p>
            <w:pPr>
              <w:jc w:val="center"/>
              <w:spacing w:after="0" w:line="126" w:lineRule="exact"/>
              <w:rPr>
                <w:sz w:val="20"/>
                <w:szCs w:val="20"/>
                <w:color w:val="auto"/>
              </w:rPr>
            </w:pPr>
            <w:r>
              <w:rPr>
                <w:rFonts w:ascii="Times New Roman" w:cs="Times New Roman" w:eastAsia="Times New Roman" w:hAnsi="Times New Roman"/>
                <w:sz w:val="14"/>
                <w:szCs w:val="14"/>
                <w:color w:val="auto"/>
                <w:w w:val="82"/>
                <w:shd w:val="clear" w:color="auto" w:fill="EAEAEA"/>
              </w:rPr>
              <w:t>15,300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gridSpan w:val="2"/>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40" w:type="dxa"/>
            <w:vAlign w:val="bottom"/>
            <w:gridSpan w:val="2"/>
            <w:vMerge w:val="restart"/>
          </w:tcPr>
          <w:p>
            <w:pPr>
              <w:spacing w:after="0"/>
              <w:rPr>
                <w:sz w:val="21"/>
                <w:szCs w:val="21"/>
                <w:color w:val="auto"/>
              </w:rPr>
            </w:pPr>
          </w:p>
        </w:tc>
        <w:tc>
          <w:tcPr>
            <w:tcW w:w="40" w:type="dxa"/>
            <w:vAlign w:val="bottom"/>
            <w:gridSpan w:val="2"/>
            <w:vMerge w:val="restart"/>
          </w:tcPr>
          <w:p>
            <w:pPr>
              <w:spacing w:after="0"/>
              <w:rPr>
                <w:sz w:val="21"/>
                <w:szCs w:val="21"/>
                <w:color w:val="auto"/>
              </w:rPr>
            </w:pPr>
          </w:p>
        </w:tc>
        <w:tc>
          <w:tcPr>
            <w:tcW w:w="60" w:type="dxa"/>
            <w:vAlign w:val="bottom"/>
            <w:gridSpan w:val="2"/>
            <w:vMerge w:val="restart"/>
          </w:tcPr>
          <w:p>
            <w:pPr>
              <w:spacing w:after="0"/>
              <w:rPr>
                <w:sz w:val="21"/>
                <w:szCs w:val="21"/>
                <w:color w:val="auto"/>
              </w:rPr>
            </w:pPr>
          </w:p>
        </w:tc>
        <w:tc>
          <w:tcPr>
            <w:tcW w:w="4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740" w:type="dxa"/>
            <w:vAlign w:val="bottom"/>
            <w:vMerge w:val="restart"/>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shd w:val="clear" w:color="auto" w:fill="EAEAEA"/>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shd w:val="clear" w:color="auto" w:fill="EAEAEA"/>
              </w:rPr>
              <w:t>KDS</w:t>
            </w: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gridSpan w:val="2"/>
            <w:vMerge w:val="continue"/>
          </w:tcPr>
          <w:p>
            <w:pPr>
              <w:spacing w:after="0"/>
              <w:rPr>
                <w:sz w:val="9"/>
                <w:szCs w:val="9"/>
                <w:color w:val="auto"/>
              </w:rPr>
            </w:pPr>
          </w:p>
        </w:tc>
        <w:tc>
          <w:tcPr>
            <w:tcW w:w="40" w:type="dxa"/>
            <w:vAlign w:val="bottom"/>
            <w:gridSpan w:val="2"/>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4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360" w:type="dxa"/>
            <w:vAlign w:val="bottom"/>
            <w:gridSpan w:val="14"/>
            <w:vMerge w:val="restart"/>
          </w:tcPr>
          <w:p>
            <w:pPr>
              <w:jc w:val="center"/>
              <w:ind w:left="860"/>
              <w:spacing w:after="0"/>
              <w:rPr>
                <w:sz w:val="20"/>
                <w:szCs w:val="20"/>
                <w:color w:val="auto"/>
              </w:rPr>
            </w:pPr>
            <w:r>
              <w:rPr>
                <w:rFonts w:ascii="Times New Roman" w:cs="Times New Roman" w:eastAsia="Times New Roman" w:hAnsi="Times New Roman"/>
                <w:sz w:val="16"/>
                <w:szCs w:val="16"/>
                <w:color w:val="auto"/>
                <w:w w:val="95"/>
              </w:rPr>
              <w:t>40,000</w:t>
            </w: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18"/>
          </w:tcPr>
          <w:p>
            <w:pPr>
              <w:spacing w:after="0" w:line="20" w:lineRule="exact"/>
              <w:rPr>
                <w:sz w:val="1"/>
                <w:szCs w:val="1"/>
                <w:color w:val="auto"/>
              </w:rPr>
            </w:pPr>
          </w:p>
        </w:tc>
        <w:tc>
          <w:tcPr>
            <w:tcW w:w="1360" w:type="dxa"/>
            <w:vAlign w:val="bottom"/>
            <w:gridSpan w:val="1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85"/>
              </w:rPr>
              <w:t>Albany,</w:t>
            </w:r>
          </w:p>
        </w:tc>
        <w:tc>
          <w:tcPr>
            <w:tcW w:w="1740" w:type="dxa"/>
            <w:vAlign w:val="bottom"/>
            <w:gridSpan w:val="20"/>
          </w:tcPr>
          <w:p>
            <w:pPr>
              <w:ind w:left="100"/>
              <w:spacing w:after="0"/>
              <w:rPr>
                <w:sz w:val="20"/>
                <w:szCs w:val="20"/>
                <w:color w:val="auto"/>
              </w:rPr>
            </w:pPr>
            <w:r>
              <w:rPr>
                <w:rFonts w:ascii="Times New Roman" w:cs="Times New Roman" w:eastAsia="Times New Roman" w:hAnsi="Times New Roman"/>
                <w:sz w:val="16"/>
                <w:szCs w:val="16"/>
                <w:color w:val="auto"/>
              </w:rPr>
              <w:t>New York</w:t>
            </w:r>
          </w:p>
        </w:tc>
        <w:tc>
          <w:tcPr>
            <w:tcW w:w="1360" w:type="dxa"/>
            <w:vAlign w:val="bottom"/>
            <w:gridSpan w:val="14"/>
            <w:vMerge w:val="continue"/>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gridSpan w:val="4"/>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80" w:type="dxa"/>
            <w:vAlign w:val="bottom"/>
            <w:gridSpan w:val="8"/>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Austin, Texas</w:t>
            </w:r>
          </w:p>
        </w:tc>
        <w:tc>
          <w:tcPr>
            <w:tcW w:w="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8"/>
            <w:vMerge w:val="continue"/>
            <w:shd w:val="clear" w:color="auto" w:fill="EAEAEA"/>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gridSpan w:val="4"/>
            <w:vMerge w:val="continue"/>
          </w:tcPr>
          <w:p>
            <w:pPr>
              <w:spacing w:after="0"/>
              <w:rPr>
                <w:sz w:val="10"/>
                <w:szCs w:val="10"/>
                <w:color w:val="auto"/>
              </w:rPr>
            </w:pPr>
          </w:p>
        </w:tc>
        <w:tc>
          <w:tcPr>
            <w:tcW w:w="220" w:type="dxa"/>
            <w:vAlign w:val="bottom"/>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w w:val="75"/>
              </w:rPr>
              <w:t>1,500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35"/>
          </w:tcPr>
          <w:p>
            <w:pPr>
              <w:jc w:val="center"/>
              <w:ind w:right="800"/>
              <w:spacing w:after="0"/>
              <w:rPr>
                <w:sz w:val="20"/>
                <w:szCs w:val="20"/>
                <w:color w:val="auto"/>
              </w:rPr>
            </w:pPr>
            <w:r>
              <w:rPr>
                <w:rFonts w:ascii="Times New Roman" w:cs="Times New Roman" w:eastAsia="Times New Roman" w:hAnsi="Times New Roman"/>
                <w:sz w:val="16"/>
                <w:szCs w:val="16"/>
                <w:color w:val="auto"/>
              </w:rPr>
              <w:t>Baton Rouge, Louisiana</w:t>
            </w: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23,500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4"/>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60" w:type="dxa"/>
            <w:vAlign w:val="bottom"/>
            <w:gridSpan w:val="2"/>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40" w:type="dxa"/>
            <w:vAlign w:val="bottom"/>
            <w:gridSpan w:val="6"/>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0"/>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Belle Chasse, Louisiana</w:t>
            </w: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0"/>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3"/>
            <w:vMerge w:val="continue"/>
          </w:tcPr>
          <w:p>
            <w:pPr>
              <w:spacing w:after="0"/>
              <w:rPr>
                <w:sz w:val="10"/>
                <w:szCs w:val="10"/>
                <w:color w:val="auto"/>
              </w:rPr>
            </w:pPr>
          </w:p>
        </w:tc>
        <w:tc>
          <w:tcPr>
            <w:tcW w:w="360" w:type="dxa"/>
            <w:vAlign w:val="bottom"/>
            <w:gridSpan w:val="7"/>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34,700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32"/>
          </w:tcPr>
          <w:p>
            <w:pPr>
              <w:jc w:val="center"/>
              <w:ind w:right="900"/>
              <w:spacing w:after="0"/>
              <w:rPr>
                <w:sz w:val="20"/>
                <w:szCs w:val="20"/>
                <w:color w:val="auto"/>
              </w:rPr>
            </w:pPr>
            <w:r>
              <w:rPr>
                <w:rFonts w:ascii="Times New Roman" w:cs="Times New Roman" w:eastAsia="Times New Roman" w:hAnsi="Times New Roman"/>
                <w:sz w:val="16"/>
                <w:szCs w:val="16"/>
                <w:color w:val="auto"/>
                <w:w w:val="98"/>
              </w:rPr>
              <w:t>Chesapeake, Virginia</w:t>
            </w: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30,000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4"/>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10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gridSpan w:val="4"/>
            <w:vMerge w:val="restart"/>
          </w:tcPr>
          <w:p>
            <w:pPr>
              <w:spacing w:after="0"/>
              <w:rPr>
                <w:sz w:val="3"/>
                <w:szCs w:val="3"/>
                <w:color w:val="auto"/>
              </w:rPr>
            </w:pPr>
          </w:p>
        </w:tc>
        <w:tc>
          <w:tcPr>
            <w:tcW w:w="380" w:type="dxa"/>
            <w:vAlign w:val="bottom"/>
            <w:gridSpan w:val="7"/>
            <w:vMerge w:val="restart"/>
          </w:tcPr>
          <w:p>
            <w:pPr>
              <w:spacing w:after="0"/>
              <w:rPr>
                <w:sz w:val="3"/>
                <w:szCs w:val="3"/>
                <w:color w:val="auto"/>
              </w:rPr>
            </w:pPr>
          </w:p>
        </w:tc>
        <w:tc>
          <w:tcPr>
            <w:tcW w:w="70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80" w:type="dxa"/>
            <w:vAlign w:val="bottom"/>
            <w:gridSpan w:val="35"/>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Commerce City, Colorado</w:t>
            </w:r>
          </w:p>
        </w:tc>
        <w:tc>
          <w:tcPr>
            <w:tcW w:w="7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380" w:type="dxa"/>
            <w:vAlign w:val="bottom"/>
            <w:gridSpan w:val="7"/>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40" w:type="dxa"/>
            <w:vAlign w:val="bottom"/>
          </w:tcPr>
          <w:p>
            <w:pPr>
              <w:spacing w:after="0"/>
              <w:rPr>
                <w:sz w:val="10"/>
                <w:szCs w:val="10"/>
                <w:color w:val="auto"/>
              </w:rPr>
            </w:pPr>
          </w:p>
        </w:tc>
        <w:tc>
          <w:tcPr>
            <w:tcW w:w="1680" w:type="dxa"/>
            <w:vAlign w:val="bottom"/>
            <w:tcBorders>
              <w:bottom w:val="single" w:sz="8" w:color="EAEAEA"/>
            </w:tcBorders>
            <w:gridSpan w:val="35"/>
            <w:vMerge w:val="continue"/>
            <w:shd w:val="clear" w:color="auto" w:fill="EAEAEA"/>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80" w:type="dxa"/>
            <w:vAlign w:val="bottom"/>
            <w:gridSpan w:val="12"/>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151,600</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3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Corpus Christi, Texas</w:t>
            </w:r>
          </w:p>
        </w:tc>
        <w:tc>
          <w:tcPr>
            <w:tcW w:w="740" w:type="dxa"/>
            <w:vAlign w:val="bottom"/>
          </w:tcPr>
          <w:p>
            <w:pPr>
              <w:spacing w:after="0"/>
              <w:rPr>
                <w:sz w:val="17"/>
                <w:szCs w:val="17"/>
                <w:color w:val="auto"/>
              </w:rPr>
            </w:pP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44,100</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gridSpan w:val="3"/>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100" w:type="dxa"/>
            <w:vAlign w:val="bottom"/>
            <w:gridSpan w:val="4"/>
            <w:vMerge w:val="restart"/>
          </w:tcPr>
          <w:p>
            <w:pPr>
              <w:spacing w:after="0"/>
              <w:rPr>
                <w:sz w:val="3"/>
                <w:szCs w:val="3"/>
                <w:color w:val="auto"/>
              </w:rPr>
            </w:pPr>
          </w:p>
        </w:tc>
        <w:tc>
          <w:tcPr>
            <w:tcW w:w="780" w:type="dxa"/>
            <w:vAlign w:val="bottom"/>
            <w:gridSpan w:val="2"/>
            <w:vMerge w:val="restart"/>
          </w:tcPr>
          <w:p>
            <w:pPr>
              <w:spacing w:after="0"/>
              <w:rPr>
                <w:sz w:val="3"/>
                <w:szCs w:val="3"/>
                <w:color w:val="auto"/>
              </w:rPr>
            </w:pPr>
          </w:p>
        </w:tc>
        <w:tc>
          <w:tcPr>
            <w:tcW w:w="90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80" w:type="dxa"/>
            <w:vAlign w:val="bottom"/>
            <w:gridSpan w:val="4"/>
            <w:vMerge w:val="restart"/>
          </w:tcPr>
          <w:p>
            <w:pPr>
              <w:spacing w:after="0"/>
              <w:rPr>
                <w:sz w:val="3"/>
                <w:szCs w:val="3"/>
                <w:color w:val="auto"/>
              </w:rPr>
            </w:pPr>
          </w:p>
        </w:tc>
        <w:tc>
          <w:tcPr>
            <w:tcW w:w="380" w:type="dxa"/>
            <w:vAlign w:val="bottom"/>
            <w:gridSpan w:val="7"/>
            <w:vMerge w:val="restart"/>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gridSpan w:val="6"/>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Dallas, Texas</w:t>
            </w:r>
          </w:p>
        </w:tc>
        <w:tc>
          <w:tcPr>
            <w:tcW w:w="8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380" w:type="dxa"/>
            <w:vAlign w:val="bottom"/>
            <w:gridSpan w:val="7"/>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6"/>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00" w:type="dxa"/>
            <w:vAlign w:val="bottom"/>
            <w:gridSpan w:val="13"/>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211,100</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gridSpan w:val="24"/>
          </w:tcPr>
          <w:p>
            <w:pPr>
              <w:jc w:val="center"/>
              <w:ind w:right="1120"/>
              <w:spacing w:after="0"/>
              <w:rPr>
                <w:sz w:val="20"/>
                <w:szCs w:val="20"/>
                <w:color w:val="auto"/>
              </w:rPr>
            </w:pPr>
            <w:r>
              <w:rPr>
                <w:rFonts w:ascii="Times New Roman" w:cs="Times New Roman" w:eastAsia="Times New Roman" w:hAnsi="Times New Roman"/>
                <w:sz w:val="16"/>
                <w:szCs w:val="16"/>
                <w:color w:val="auto"/>
                <w:w w:val="99"/>
              </w:rPr>
              <w:t>El Paso, Texas</w:t>
            </w:r>
          </w:p>
        </w:tc>
        <w:tc>
          <w:tcPr>
            <w:tcW w:w="1320" w:type="dxa"/>
            <w:vAlign w:val="bottom"/>
            <w:gridSpan w:val="13"/>
          </w:tcPr>
          <w:p>
            <w:pPr>
              <w:jc w:val="center"/>
              <w:ind w:left="900"/>
              <w:spacing w:after="0"/>
              <w:rPr>
                <w:sz w:val="20"/>
                <w:szCs w:val="20"/>
                <w:color w:val="auto"/>
              </w:rPr>
            </w:pPr>
            <w:r>
              <w:rPr>
                <w:rFonts w:ascii="Times New Roman" w:cs="Times New Roman" w:eastAsia="Times New Roman" w:hAnsi="Times New Roman"/>
                <w:sz w:val="16"/>
                <w:szCs w:val="16"/>
                <w:color w:val="auto"/>
                <w:w w:val="94"/>
              </w:rPr>
              <w:t>9,000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8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5"/>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100" w:type="dxa"/>
            <w:vAlign w:val="bottom"/>
            <w:gridSpan w:val="4"/>
          </w:tcPr>
          <w:p>
            <w:pPr>
              <w:spacing w:after="0"/>
              <w:rPr>
                <w:sz w:val="3"/>
                <w:szCs w:val="3"/>
                <w:color w:val="auto"/>
              </w:rPr>
            </w:pPr>
          </w:p>
        </w:tc>
        <w:tc>
          <w:tcPr>
            <w:tcW w:w="780" w:type="dxa"/>
            <w:vAlign w:val="bottom"/>
            <w:gridSpan w:val="2"/>
            <w:vMerge w:val="restart"/>
          </w:tcPr>
          <w:p>
            <w:pPr>
              <w:spacing w:after="0"/>
              <w:rPr>
                <w:sz w:val="3"/>
                <w:szCs w:val="3"/>
                <w:color w:val="auto"/>
              </w:rPr>
            </w:pPr>
          </w:p>
        </w:tc>
        <w:tc>
          <w:tcPr>
            <w:tcW w:w="940" w:type="dxa"/>
            <w:vAlign w:val="bottom"/>
            <w:gridSpan w:val="4"/>
            <w:vMerge w:val="restart"/>
          </w:tcPr>
          <w:p>
            <w:pPr>
              <w:spacing w:after="0"/>
              <w:rPr>
                <w:sz w:val="3"/>
                <w:szCs w:val="3"/>
                <w:color w:val="auto"/>
              </w:rPr>
            </w:pPr>
          </w:p>
        </w:tc>
        <w:tc>
          <w:tcPr>
            <w:tcW w:w="80" w:type="dxa"/>
            <w:vAlign w:val="bottom"/>
            <w:gridSpan w:val="4"/>
            <w:vMerge w:val="restart"/>
          </w:tcPr>
          <w:p>
            <w:pPr>
              <w:spacing w:after="0"/>
              <w:rPr>
                <w:sz w:val="3"/>
                <w:szCs w:val="3"/>
                <w:color w:val="auto"/>
              </w:rPr>
            </w:pPr>
          </w:p>
        </w:tc>
        <w:tc>
          <w:tcPr>
            <w:tcW w:w="340" w:type="dxa"/>
            <w:vAlign w:val="bottom"/>
            <w:gridSpan w:val="6"/>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80" w:type="dxa"/>
            <w:vAlign w:val="bottom"/>
            <w:gridSpan w:val="33"/>
            <w:vMerge w:val="restart"/>
            <w:shd w:val="clear" w:color="auto" w:fill="EAEAEA"/>
          </w:tcPr>
          <w:p>
            <w:pPr>
              <w:jc w:val="center"/>
              <w:ind w:right="20"/>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Fort Lauderdale, Florida</w:t>
            </w:r>
          </w:p>
        </w:tc>
        <w:tc>
          <w:tcPr>
            <w:tcW w:w="780" w:type="dxa"/>
            <w:vAlign w:val="bottom"/>
            <w:gridSpan w:val="2"/>
            <w:vMerge w:val="continue"/>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33"/>
            <w:vMerge w:val="continue"/>
            <w:shd w:val="clear" w:color="auto" w:fill="EAEAEA"/>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420" w:type="dxa"/>
            <w:vAlign w:val="bottom"/>
            <w:gridSpan w:val="10"/>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40,400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gridSpan w:val="30"/>
          </w:tcPr>
          <w:p>
            <w:pPr>
              <w:jc w:val="center"/>
              <w:ind w:right="960"/>
              <w:spacing w:after="0"/>
              <w:rPr>
                <w:sz w:val="20"/>
                <w:szCs w:val="20"/>
                <w:color w:val="auto"/>
              </w:rPr>
            </w:pPr>
            <w:r>
              <w:rPr>
                <w:rFonts w:ascii="Times New Roman" w:cs="Times New Roman" w:eastAsia="Times New Roman" w:hAnsi="Times New Roman"/>
                <w:sz w:val="16"/>
                <w:szCs w:val="16"/>
                <w:color w:val="auto"/>
              </w:rPr>
              <w:t>Fort Myers, Florida</w:t>
            </w:r>
          </w:p>
        </w:tc>
        <w:tc>
          <w:tcPr>
            <w:tcW w:w="1320" w:type="dxa"/>
            <w:vAlign w:val="bottom"/>
            <w:gridSpan w:val="13"/>
          </w:tcPr>
          <w:p>
            <w:pPr>
              <w:jc w:val="center"/>
              <w:ind w:left="900"/>
              <w:spacing w:after="0"/>
              <w:rPr>
                <w:sz w:val="20"/>
                <w:szCs w:val="20"/>
                <w:color w:val="auto"/>
              </w:rPr>
            </w:pPr>
            <w:r>
              <w:rPr>
                <w:rFonts w:ascii="Times New Roman" w:cs="Times New Roman" w:eastAsia="Times New Roman" w:hAnsi="Times New Roman"/>
                <w:sz w:val="16"/>
                <w:szCs w:val="16"/>
                <w:color w:val="auto"/>
                <w:w w:val="94"/>
              </w:rPr>
              <w:t>9,900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5"/>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880" w:type="dxa"/>
            <w:vAlign w:val="bottom"/>
            <w:gridSpan w:val="6"/>
            <w:vMerge w:val="restart"/>
          </w:tcPr>
          <w:p>
            <w:pPr>
              <w:spacing w:after="0"/>
              <w:rPr>
                <w:sz w:val="3"/>
                <w:szCs w:val="3"/>
                <w:color w:val="auto"/>
              </w:rPr>
            </w:pPr>
          </w:p>
        </w:tc>
        <w:tc>
          <w:tcPr>
            <w:tcW w:w="1020" w:type="dxa"/>
            <w:vAlign w:val="bottom"/>
            <w:gridSpan w:val="8"/>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20" w:type="dxa"/>
            <w:vAlign w:val="bottom"/>
            <w:gridSpan w:val="5"/>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40" w:type="dxa"/>
            <w:vAlign w:val="bottom"/>
            <w:gridSpan w:val="19"/>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Fort Pierce, Florida</w:t>
            </w:r>
          </w:p>
        </w:tc>
        <w:tc>
          <w:tcPr>
            <w:tcW w:w="4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80" w:type="dxa"/>
            <w:vAlign w:val="bottom"/>
            <w:gridSpan w:val="6"/>
            <w:vMerge w:val="continue"/>
          </w:tcPr>
          <w:p>
            <w:pPr>
              <w:spacing w:after="0" w:line="20" w:lineRule="exact"/>
              <w:rPr>
                <w:sz w:val="1"/>
                <w:szCs w:val="1"/>
                <w:color w:val="auto"/>
              </w:rPr>
            </w:pPr>
          </w:p>
        </w:tc>
        <w:tc>
          <w:tcPr>
            <w:tcW w:w="102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19"/>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8"/>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20" w:type="dxa"/>
            <w:vAlign w:val="bottom"/>
            <w:gridSpan w:val="5"/>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w w:val="89"/>
                <w:shd w:val="clear" w:color="auto" w:fill="EAEAEA"/>
              </w:rPr>
              <w:t>10,300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gridSpan w:val="29"/>
          </w:tcPr>
          <w:p>
            <w:pPr>
              <w:jc w:val="center"/>
              <w:ind w:right="980"/>
              <w:spacing w:after="0"/>
              <w:rPr>
                <w:sz w:val="20"/>
                <w:szCs w:val="20"/>
                <w:color w:val="auto"/>
              </w:rPr>
            </w:pPr>
            <w:r>
              <w:rPr>
                <w:rFonts w:ascii="Times New Roman" w:cs="Times New Roman" w:eastAsia="Times New Roman" w:hAnsi="Times New Roman"/>
                <w:sz w:val="16"/>
                <w:szCs w:val="16"/>
                <w:color w:val="auto"/>
              </w:rPr>
              <w:t>Fort Worth, Texas</w:t>
            </w: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22,600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5"/>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3"/>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880" w:type="dxa"/>
            <w:vAlign w:val="bottom"/>
            <w:gridSpan w:val="6"/>
            <w:vMerge w:val="restart"/>
          </w:tcPr>
          <w:p>
            <w:pPr>
              <w:spacing w:after="0"/>
              <w:rPr>
                <w:sz w:val="3"/>
                <w:szCs w:val="3"/>
                <w:color w:val="auto"/>
              </w:rPr>
            </w:pPr>
          </w:p>
        </w:tc>
        <w:tc>
          <w:tcPr>
            <w:tcW w:w="920" w:type="dxa"/>
            <w:vAlign w:val="bottom"/>
            <w:gridSpan w:val="3"/>
            <w:vMerge w:val="restart"/>
          </w:tcPr>
          <w:p>
            <w:pPr>
              <w:spacing w:after="0"/>
              <w:rPr>
                <w:sz w:val="3"/>
                <w:szCs w:val="3"/>
                <w:color w:val="auto"/>
              </w:rPr>
            </w:pPr>
          </w:p>
        </w:tc>
        <w:tc>
          <w:tcPr>
            <w:tcW w:w="100" w:type="dxa"/>
            <w:vAlign w:val="bottom"/>
            <w:gridSpan w:val="5"/>
            <w:vMerge w:val="restart"/>
          </w:tcPr>
          <w:p>
            <w:pPr>
              <w:spacing w:after="0"/>
              <w:rPr>
                <w:sz w:val="3"/>
                <w:szCs w:val="3"/>
                <w:color w:val="auto"/>
              </w:rPr>
            </w:pPr>
          </w:p>
        </w:tc>
        <w:tc>
          <w:tcPr>
            <w:tcW w:w="380" w:type="dxa"/>
            <w:vAlign w:val="bottom"/>
            <w:gridSpan w:val="7"/>
            <w:vMerge w:val="restart"/>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gridSpan w:val="17"/>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Houma, Louisiana</w:t>
            </w:r>
          </w:p>
        </w:tc>
        <w:tc>
          <w:tcPr>
            <w:tcW w:w="8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80" w:type="dxa"/>
            <w:vAlign w:val="bottom"/>
            <w:gridSpan w:val="6"/>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100" w:type="dxa"/>
            <w:vAlign w:val="bottom"/>
            <w:gridSpan w:val="5"/>
            <w:vMerge w:val="continue"/>
          </w:tcPr>
          <w:p>
            <w:pPr>
              <w:spacing w:after="0" w:line="20" w:lineRule="exact"/>
              <w:rPr>
                <w:sz w:val="1"/>
                <w:szCs w:val="1"/>
                <w:color w:val="auto"/>
              </w:rPr>
            </w:pPr>
          </w:p>
        </w:tc>
        <w:tc>
          <w:tcPr>
            <w:tcW w:w="380" w:type="dxa"/>
            <w:vAlign w:val="bottom"/>
            <w:gridSpan w:val="7"/>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17"/>
            <w:vMerge w:val="continue"/>
            <w:shd w:val="clear" w:color="auto" w:fill="EAEAEA"/>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480" w:type="dxa"/>
            <w:vAlign w:val="bottom"/>
            <w:gridSpan w:val="12"/>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119,800</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26"/>
          </w:tcPr>
          <w:p>
            <w:pPr>
              <w:jc w:val="center"/>
              <w:ind w:right="1060"/>
              <w:spacing w:after="0"/>
              <w:rPr>
                <w:sz w:val="20"/>
                <w:szCs w:val="20"/>
                <w:color w:val="auto"/>
              </w:rPr>
            </w:pPr>
            <w:r>
              <w:rPr>
                <w:rFonts w:ascii="Times New Roman" w:cs="Times New Roman" w:eastAsia="Times New Roman" w:hAnsi="Times New Roman"/>
                <w:sz w:val="16"/>
                <w:szCs w:val="16"/>
                <w:color w:val="auto"/>
                <w:w w:val="99"/>
              </w:rPr>
              <w:t>Houston, Texas</w:t>
            </w:r>
          </w:p>
        </w:tc>
        <w:tc>
          <w:tcPr>
            <w:tcW w:w="1400" w:type="dxa"/>
            <w:vAlign w:val="bottom"/>
            <w:gridSpan w:val="15"/>
          </w:tcPr>
          <w:p>
            <w:pPr>
              <w:jc w:val="center"/>
              <w:ind w:left="820"/>
              <w:spacing w:after="0"/>
              <w:rPr>
                <w:sz w:val="20"/>
                <w:szCs w:val="20"/>
                <w:color w:val="auto"/>
              </w:rPr>
            </w:pPr>
            <w:r>
              <w:rPr>
                <w:rFonts w:ascii="Times New Roman" w:cs="Times New Roman" w:eastAsia="Times New Roman" w:hAnsi="Times New Roman"/>
                <w:sz w:val="16"/>
                <w:szCs w:val="16"/>
                <w:color w:val="auto"/>
                <w:w w:val="96"/>
              </w:rPr>
              <w:t>501,000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5"/>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4"/>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880" w:type="dxa"/>
            <w:vAlign w:val="bottom"/>
            <w:gridSpan w:val="6"/>
            <w:vMerge w:val="restart"/>
          </w:tcPr>
          <w:p>
            <w:pPr>
              <w:spacing w:after="0"/>
              <w:rPr>
                <w:sz w:val="3"/>
                <w:szCs w:val="3"/>
                <w:color w:val="auto"/>
              </w:rPr>
            </w:pPr>
          </w:p>
        </w:tc>
        <w:tc>
          <w:tcPr>
            <w:tcW w:w="940" w:type="dxa"/>
            <w:vAlign w:val="bottom"/>
            <w:gridSpan w:val="4"/>
            <w:vMerge w:val="restart"/>
          </w:tcPr>
          <w:p>
            <w:pPr>
              <w:spacing w:after="0"/>
              <w:rPr>
                <w:sz w:val="3"/>
                <w:szCs w:val="3"/>
                <w:color w:val="auto"/>
              </w:rPr>
            </w:pPr>
          </w:p>
        </w:tc>
        <w:tc>
          <w:tcPr>
            <w:tcW w:w="80" w:type="dxa"/>
            <w:vAlign w:val="bottom"/>
            <w:gridSpan w:val="4"/>
            <w:vMerge w:val="restart"/>
          </w:tcPr>
          <w:p>
            <w:pPr>
              <w:spacing w:after="0"/>
              <w:rPr>
                <w:sz w:val="3"/>
                <w:szCs w:val="3"/>
                <w:color w:val="auto"/>
              </w:rPr>
            </w:pPr>
          </w:p>
        </w:tc>
        <w:tc>
          <w:tcPr>
            <w:tcW w:w="340" w:type="dxa"/>
            <w:vAlign w:val="bottom"/>
            <w:gridSpan w:val="6"/>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3"/>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Jacksonville, Florida</w:t>
            </w:r>
          </w:p>
        </w:tc>
        <w:tc>
          <w:tcPr>
            <w:tcW w:w="40" w:type="dxa"/>
            <w:vAlign w:val="bottom"/>
            <w:gridSpan w:val="2"/>
            <w:vMerge w:val="continue"/>
          </w:tcPr>
          <w:p>
            <w:pPr>
              <w:spacing w:after="0" w:line="20" w:lineRule="exact"/>
              <w:rPr>
                <w:sz w:val="1"/>
                <w:szCs w:val="1"/>
                <w:color w:val="auto"/>
              </w:rPr>
            </w:pPr>
          </w:p>
        </w:tc>
        <w:tc>
          <w:tcPr>
            <w:tcW w:w="880" w:type="dxa"/>
            <w:vAlign w:val="bottom"/>
            <w:gridSpan w:val="6"/>
            <w:vMerge w:val="continue"/>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23"/>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420" w:type="dxa"/>
            <w:vAlign w:val="bottom"/>
            <w:gridSpan w:val="10"/>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44,800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gridSpan w:val="24"/>
          </w:tcPr>
          <w:p>
            <w:pPr>
              <w:jc w:val="center"/>
              <w:ind w:right="1100"/>
              <w:spacing w:after="0"/>
              <w:rPr>
                <w:sz w:val="20"/>
                <w:szCs w:val="20"/>
                <w:color w:val="auto"/>
              </w:rPr>
            </w:pPr>
            <w:r>
              <w:rPr>
                <w:rFonts w:ascii="Times New Roman" w:cs="Times New Roman" w:eastAsia="Times New Roman" w:hAnsi="Times New Roman"/>
                <w:sz w:val="16"/>
                <w:szCs w:val="16"/>
                <w:color w:val="auto"/>
              </w:rPr>
              <w:t>Laredo, Texas</w:t>
            </w: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23,500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gridSpan w:val="6"/>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5"/>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gridSpan w:val="6"/>
          </w:tcPr>
          <w:p>
            <w:pPr>
              <w:spacing w:after="0"/>
              <w:rPr>
                <w:sz w:val="3"/>
                <w:szCs w:val="3"/>
                <w:color w:val="auto"/>
              </w:rPr>
            </w:pPr>
          </w:p>
        </w:tc>
        <w:tc>
          <w:tcPr>
            <w:tcW w:w="880" w:type="dxa"/>
            <w:vAlign w:val="bottom"/>
            <w:gridSpan w:val="6"/>
            <w:vMerge w:val="restart"/>
          </w:tcPr>
          <w:p>
            <w:pPr>
              <w:spacing w:after="0"/>
              <w:rPr>
                <w:sz w:val="3"/>
                <w:szCs w:val="3"/>
                <w:color w:val="auto"/>
              </w:rPr>
            </w:pPr>
          </w:p>
        </w:tc>
        <w:tc>
          <w:tcPr>
            <w:tcW w:w="1000" w:type="dxa"/>
            <w:vAlign w:val="bottom"/>
            <w:gridSpan w:val="7"/>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40" w:type="dxa"/>
            <w:vAlign w:val="bottom"/>
            <w:gridSpan w:val="6"/>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0" w:type="dxa"/>
            <w:vAlign w:val="bottom"/>
            <w:gridSpan w:val="27"/>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Little Rock, Arkansas</w:t>
            </w:r>
          </w:p>
        </w:tc>
        <w:tc>
          <w:tcPr>
            <w:tcW w:w="880" w:type="dxa"/>
            <w:vAlign w:val="bottom"/>
            <w:gridSpan w:val="6"/>
            <w:vMerge w:val="continue"/>
          </w:tcPr>
          <w:p>
            <w:pPr>
              <w:spacing w:after="0" w:line="20" w:lineRule="exact"/>
              <w:rPr>
                <w:sz w:val="1"/>
                <w:szCs w:val="1"/>
                <w:color w:val="auto"/>
              </w:rPr>
            </w:pPr>
          </w:p>
        </w:tc>
        <w:tc>
          <w:tcPr>
            <w:tcW w:w="1000" w:type="dxa"/>
            <w:vAlign w:val="bottom"/>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7"/>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7"/>
            <w:vMerge w:val="continue"/>
          </w:tcPr>
          <w:p>
            <w:pPr>
              <w:spacing w:after="0"/>
              <w:rPr>
                <w:sz w:val="10"/>
                <w:szCs w:val="10"/>
                <w:color w:val="auto"/>
              </w:rPr>
            </w:pPr>
          </w:p>
        </w:tc>
        <w:tc>
          <w:tcPr>
            <w:tcW w:w="360" w:type="dxa"/>
            <w:vAlign w:val="bottom"/>
            <w:gridSpan w:val="7"/>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33,600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gridSpan w:val="28"/>
          </w:tcPr>
          <w:p>
            <w:pPr>
              <w:jc w:val="center"/>
              <w:ind w:right="980"/>
              <w:spacing w:after="0"/>
              <w:rPr>
                <w:sz w:val="20"/>
                <w:szCs w:val="20"/>
                <w:color w:val="auto"/>
              </w:rPr>
            </w:pPr>
            <w:r>
              <w:rPr>
                <w:rFonts w:ascii="Times New Roman" w:cs="Times New Roman" w:eastAsia="Times New Roman" w:hAnsi="Times New Roman"/>
                <w:sz w:val="16"/>
                <w:szCs w:val="16"/>
                <w:color w:val="auto"/>
                <w:w w:val="99"/>
              </w:rPr>
              <w:t>Lodi, New Jersey</w:t>
            </w: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57,300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320" w:type="dxa"/>
            <w:vAlign w:val="bottom"/>
            <w:gridSpan w:val="5"/>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gridSpan w:val="4"/>
          </w:tcPr>
          <w:p>
            <w:pPr>
              <w:spacing w:after="0"/>
              <w:rPr>
                <w:sz w:val="3"/>
                <w:szCs w:val="3"/>
                <w:color w:val="auto"/>
              </w:rPr>
            </w:pPr>
          </w:p>
        </w:tc>
        <w:tc>
          <w:tcPr>
            <w:tcW w:w="60" w:type="dxa"/>
            <w:vAlign w:val="bottom"/>
            <w:vMerge w:val="restart"/>
          </w:tcPr>
          <w:p>
            <w:pPr>
              <w:spacing w:after="0"/>
              <w:rPr>
                <w:sz w:val="3"/>
                <w:szCs w:val="3"/>
                <w:color w:val="auto"/>
              </w:rPr>
            </w:pPr>
          </w:p>
        </w:tc>
        <w:tc>
          <w:tcPr>
            <w:tcW w:w="1020" w:type="dxa"/>
            <w:vAlign w:val="bottom"/>
            <w:gridSpan w:val="12"/>
            <w:vMerge w:val="restart"/>
          </w:tcPr>
          <w:p>
            <w:pPr>
              <w:spacing w:after="0"/>
              <w:rPr>
                <w:sz w:val="3"/>
                <w:szCs w:val="3"/>
                <w:color w:val="auto"/>
              </w:rPr>
            </w:pPr>
          </w:p>
        </w:tc>
        <w:tc>
          <w:tcPr>
            <w:tcW w:w="960" w:type="dxa"/>
            <w:vAlign w:val="bottom"/>
            <w:gridSpan w:val="5"/>
            <w:vMerge w:val="restart"/>
          </w:tcPr>
          <w:p>
            <w:pPr>
              <w:spacing w:after="0"/>
              <w:rPr>
                <w:sz w:val="3"/>
                <w:szCs w:val="3"/>
                <w:color w:val="auto"/>
              </w:rPr>
            </w:pPr>
          </w:p>
        </w:tc>
        <w:tc>
          <w:tcPr>
            <w:tcW w:w="60" w:type="dxa"/>
            <w:vAlign w:val="bottom"/>
            <w:gridSpan w:val="3"/>
            <w:vMerge w:val="restart"/>
          </w:tcPr>
          <w:p>
            <w:pPr>
              <w:spacing w:after="0"/>
              <w:rPr>
                <w:sz w:val="3"/>
                <w:szCs w:val="3"/>
                <w:color w:val="auto"/>
              </w:rPr>
            </w:pPr>
          </w:p>
        </w:tc>
        <w:tc>
          <w:tcPr>
            <w:tcW w:w="340" w:type="dxa"/>
            <w:vAlign w:val="bottom"/>
            <w:gridSpan w:val="6"/>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20" w:type="dxa"/>
            <w:vAlign w:val="bottom"/>
            <w:gridSpan w:val="13"/>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Lubbock, Texas</w:t>
            </w:r>
          </w:p>
        </w:tc>
        <w:tc>
          <w:tcPr>
            <w:tcW w:w="60" w:type="dxa"/>
            <w:vAlign w:val="bottom"/>
            <w:vMerge w:val="continue"/>
          </w:tcPr>
          <w:p>
            <w:pPr>
              <w:spacing w:after="0" w:line="20" w:lineRule="exact"/>
              <w:rPr>
                <w:sz w:val="1"/>
                <w:szCs w:val="1"/>
                <w:color w:val="auto"/>
              </w:rPr>
            </w:pPr>
          </w:p>
        </w:tc>
        <w:tc>
          <w:tcPr>
            <w:tcW w:w="1020" w:type="dxa"/>
            <w:vAlign w:val="bottom"/>
            <w:gridSpan w:val="12"/>
            <w:vMerge w:val="continue"/>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13"/>
            <w:vMerge w:val="continue"/>
            <w:shd w:val="clear" w:color="auto" w:fill="EAEAEA"/>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5"/>
            <w:vMerge w:val="continue"/>
          </w:tcPr>
          <w:p>
            <w:pPr>
              <w:spacing w:after="0"/>
              <w:rPr>
                <w:sz w:val="10"/>
                <w:szCs w:val="10"/>
                <w:color w:val="auto"/>
              </w:rPr>
            </w:pPr>
          </w:p>
        </w:tc>
        <w:tc>
          <w:tcPr>
            <w:tcW w:w="400" w:type="dxa"/>
            <w:vAlign w:val="bottom"/>
            <w:gridSpan w:val="9"/>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27,500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160" w:type="dxa"/>
            <w:vAlign w:val="bottom"/>
            <w:gridSpan w:val="37"/>
          </w:tcPr>
          <w:p>
            <w:pPr>
              <w:jc w:val="center"/>
              <w:spacing w:after="0"/>
              <w:rPr>
                <w:sz w:val="20"/>
                <w:szCs w:val="20"/>
                <w:color w:val="auto"/>
              </w:rPr>
            </w:pPr>
            <w:r>
              <w:rPr>
                <w:rFonts w:ascii="Times New Roman" w:cs="Times New Roman" w:eastAsia="Times New Roman" w:hAnsi="Times New Roman"/>
                <w:sz w:val="16"/>
                <w:szCs w:val="16"/>
                <w:color w:val="auto"/>
                <w:w w:val="99"/>
              </w:rPr>
              <w:t>Marlborough, Massachusetts</w:t>
            </w: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45,700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8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80" w:type="dxa"/>
            <w:vAlign w:val="bottom"/>
            <w:gridSpan w:val="2"/>
            <w:vMerge w:val="restart"/>
          </w:tcPr>
          <w:p>
            <w:pPr>
              <w:spacing w:after="0"/>
              <w:rPr>
                <w:sz w:val="3"/>
                <w:szCs w:val="3"/>
                <w:color w:val="auto"/>
              </w:rPr>
            </w:pPr>
          </w:p>
        </w:tc>
        <w:tc>
          <w:tcPr>
            <w:tcW w:w="1020" w:type="dxa"/>
            <w:vAlign w:val="bottom"/>
            <w:gridSpan w:val="12"/>
            <w:vMerge w:val="restart"/>
          </w:tcPr>
          <w:p>
            <w:pPr>
              <w:spacing w:after="0"/>
              <w:rPr>
                <w:sz w:val="3"/>
                <w:szCs w:val="3"/>
                <w:color w:val="auto"/>
              </w:rPr>
            </w:pPr>
          </w:p>
        </w:tc>
        <w:tc>
          <w:tcPr>
            <w:tcW w:w="1020" w:type="dxa"/>
            <w:vAlign w:val="bottom"/>
            <w:gridSpan w:val="8"/>
            <w:vMerge w:val="restart"/>
          </w:tcPr>
          <w:p>
            <w:pPr>
              <w:spacing w:after="0"/>
              <w:rPr>
                <w:sz w:val="3"/>
                <w:szCs w:val="3"/>
                <w:color w:val="auto"/>
              </w:rPr>
            </w:pPr>
          </w:p>
        </w:tc>
        <w:tc>
          <w:tcPr>
            <w:tcW w:w="340" w:type="dxa"/>
            <w:vAlign w:val="bottom"/>
            <w:gridSpan w:val="6"/>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0" w:type="dxa"/>
            <w:vAlign w:val="bottom"/>
            <w:gridSpan w:val="10"/>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Miami, Florida</w:t>
            </w:r>
          </w:p>
        </w:tc>
        <w:tc>
          <w:tcPr>
            <w:tcW w:w="80" w:type="dxa"/>
            <w:vAlign w:val="bottom"/>
            <w:gridSpan w:val="2"/>
            <w:vMerge w:val="continue"/>
          </w:tcPr>
          <w:p>
            <w:pPr>
              <w:spacing w:after="0" w:line="20" w:lineRule="exact"/>
              <w:rPr>
                <w:sz w:val="1"/>
                <w:szCs w:val="1"/>
                <w:color w:val="auto"/>
              </w:rPr>
            </w:pPr>
          </w:p>
        </w:tc>
        <w:tc>
          <w:tcPr>
            <w:tcW w:w="1020" w:type="dxa"/>
            <w:vAlign w:val="bottom"/>
            <w:gridSpan w:val="12"/>
            <w:vMerge w:val="continue"/>
          </w:tcPr>
          <w:p>
            <w:pPr>
              <w:spacing w:after="0" w:line="20" w:lineRule="exact"/>
              <w:rPr>
                <w:sz w:val="1"/>
                <w:szCs w:val="1"/>
                <w:color w:val="auto"/>
              </w:rPr>
            </w:pPr>
          </w:p>
        </w:tc>
        <w:tc>
          <w:tcPr>
            <w:tcW w:w="1020" w:type="dxa"/>
            <w:vAlign w:val="bottom"/>
            <w:gridSpan w:val="8"/>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10"/>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8"/>
            <w:vMerge w:val="continue"/>
          </w:tcPr>
          <w:p>
            <w:pPr>
              <w:spacing w:after="0"/>
              <w:rPr>
                <w:sz w:val="10"/>
                <w:szCs w:val="10"/>
                <w:color w:val="auto"/>
              </w:rPr>
            </w:pPr>
          </w:p>
        </w:tc>
        <w:tc>
          <w:tcPr>
            <w:tcW w:w="340" w:type="dxa"/>
            <w:vAlign w:val="bottom"/>
            <w:gridSpan w:val="6"/>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w w:val="94"/>
                <w:shd w:val="clear" w:color="auto" w:fill="EAEAEA"/>
              </w:rPr>
              <w:t>54,400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2420" w:type="dxa"/>
            <w:vAlign w:val="bottom"/>
            <w:gridSpan w:val="36"/>
          </w:tcPr>
          <w:p>
            <w:pPr>
              <w:jc w:val="center"/>
              <w:ind w:right="740"/>
              <w:spacing w:after="0"/>
              <w:rPr>
                <w:sz w:val="20"/>
                <w:szCs w:val="20"/>
                <w:color w:val="auto"/>
              </w:rPr>
            </w:pPr>
            <w:r>
              <w:rPr>
                <w:rFonts w:ascii="Times New Roman" w:cs="Times New Roman" w:eastAsia="Times New Roman" w:hAnsi="Times New Roman"/>
                <w:sz w:val="16"/>
                <w:szCs w:val="16"/>
                <w:color w:val="auto"/>
              </w:rPr>
              <w:t>Middletown, Connecticut</w:t>
            </w:r>
          </w:p>
        </w:tc>
        <w:tc>
          <w:tcPr>
            <w:tcW w:w="1360" w:type="dxa"/>
            <w:vAlign w:val="bottom"/>
            <w:gridSpan w:val="14"/>
          </w:tcPr>
          <w:p>
            <w:pPr>
              <w:jc w:val="center"/>
              <w:ind w:left="860"/>
              <w:spacing w:after="0"/>
              <w:rPr>
                <w:sz w:val="20"/>
                <w:szCs w:val="20"/>
                <w:color w:val="auto"/>
              </w:rPr>
            </w:pPr>
            <w:r>
              <w:rPr>
                <w:rFonts w:ascii="Times New Roman" w:cs="Times New Roman" w:eastAsia="Times New Roman" w:hAnsi="Times New Roman"/>
                <w:sz w:val="16"/>
                <w:szCs w:val="16"/>
                <w:color w:val="auto"/>
                <w:w w:val="95"/>
              </w:rPr>
              <w:t>38,800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360" w:type="dxa"/>
            <w:vAlign w:val="bottom"/>
            <w:gridSpan w:val="6"/>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gridSpan w:val="5"/>
          </w:tcPr>
          <w:p>
            <w:pPr>
              <w:spacing w:after="0"/>
              <w:rPr>
                <w:sz w:val="3"/>
                <w:szCs w:val="3"/>
                <w:color w:val="auto"/>
              </w:rPr>
            </w:pPr>
          </w:p>
        </w:tc>
        <w:tc>
          <w:tcPr>
            <w:tcW w:w="1020" w:type="dxa"/>
            <w:vAlign w:val="bottom"/>
            <w:gridSpan w:val="12"/>
            <w:vMerge w:val="restart"/>
          </w:tcPr>
          <w:p>
            <w:pPr>
              <w:spacing w:after="0"/>
              <w:rPr>
                <w:sz w:val="3"/>
                <w:szCs w:val="3"/>
                <w:color w:val="auto"/>
              </w:rPr>
            </w:pPr>
          </w:p>
        </w:tc>
        <w:tc>
          <w:tcPr>
            <w:tcW w:w="960" w:type="dxa"/>
            <w:vAlign w:val="bottom"/>
            <w:gridSpan w:val="5"/>
            <w:vMerge w:val="restart"/>
          </w:tcPr>
          <w:p>
            <w:pPr>
              <w:spacing w:after="0"/>
              <w:rPr>
                <w:sz w:val="3"/>
                <w:szCs w:val="3"/>
                <w:color w:val="auto"/>
              </w:rPr>
            </w:pPr>
          </w:p>
        </w:tc>
        <w:tc>
          <w:tcPr>
            <w:tcW w:w="400" w:type="dxa"/>
            <w:vAlign w:val="bottom"/>
            <w:gridSpan w:val="9"/>
            <w:vMerge w:val="restart"/>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20" w:type="dxa"/>
            <w:vAlign w:val="bottom"/>
            <w:gridSpan w:val="15"/>
            <w:vMerge w:val="restart"/>
            <w:shd w:val="clear" w:color="auto" w:fill="EAEAEA"/>
          </w:tcPr>
          <w:p>
            <w:pPr>
              <w:jc w:val="center"/>
              <w:spacing w:after="0" w:line="138" w:lineRule="exact"/>
              <w:rPr>
                <w:sz w:val="20"/>
                <w:szCs w:val="20"/>
                <w:color w:val="auto"/>
              </w:rPr>
            </w:pPr>
            <w:r>
              <w:rPr>
                <w:rFonts w:ascii="Times New Roman" w:cs="Times New Roman" w:eastAsia="Times New Roman" w:hAnsi="Times New Roman"/>
                <w:sz w:val="15"/>
                <w:szCs w:val="15"/>
                <w:color w:val="auto"/>
                <w:shd w:val="clear" w:color="auto" w:fill="EAEAEA"/>
              </w:rPr>
              <w:t>Mobile, Alabama</w:t>
            </w:r>
          </w:p>
        </w:tc>
        <w:tc>
          <w:tcPr>
            <w:tcW w:w="1020" w:type="dxa"/>
            <w:vAlign w:val="bottom"/>
            <w:gridSpan w:val="12"/>
            <w:vMerge w:val="continue"/>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400" w:type="dxa"/>
            <w:vAlign w:val="bottom"/>
            <w:gridSpan w:val="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15"/>
            <w:vMerge w:val="continue"/>
            <w:shd w:val="clear" w:color="auto" w:fill="EAEAEA"/>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5"/>
            <w:vMerge w:val="continue"/>
          </w:tcPr>
          <w:p>
            <w:pPr>
              <w:spacing w:after="0"/>
              <w:rPr>
                <w:sz w:val="10"/>
                <w:szCs w:val="10"/>
                <w:color w:val="auto"/>
              </w:rPr>
            </w:pPr>
          </w:p>
        </w:tc>
        <w:tc>
          <w:tcPr>
            <w:tcW w:w="400" w:type="dxa"/>
            <w:vAlign w:val="bottom"/>
            <w:gridSpan w:val="9"/>
            <w:shd w:val="clear" w:color="auto" w:fill="EAEAEA"/>
          </w:tcPr>
          <w:p>
            <w:pPr>
              <w:jc w:val="center"/>
              <w:spacing w:after="0" w:line="118" w:lineRule="exact"/>
              <w:rPr>
                <w:sz w:val="20"/>
                <w:szCs w:val="20"/>
                <w:color w:val="auto"/>
              </w:rPr>
            </w:pPr>
            <w:r>
              <w:rPr>
                <w:rFonts w:ascii="Times New Roman" w:cs="Times New Roman" w:eastAsia="Times New Roman" w:hAnsi="Times New Roman"/>
                <w:sz w:val="13"/>
                <w:szCs w:val="13"/>
                <w:color w:val="auto"/>
                <w:shd w:val="clear" w:color="auto" w:fill="EAEAEA"/>
              </w:rPr>
              <w:t>27,000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34"/>
          </w:tcPr>
          <w:p>
            <w:pPr>
              <w:jc w:val="center"/>
              <w:ind w:right="840"/>
              <w:spacing w:after="0"/>
              <w:rPr>
                <w:sz w:val="20"/>
                <w:szCs w:val="20"/>
                <w:color w:val="auto"/>
              </w:rPr>
            </w:pPr>
            <w:r>
              <w:rPr>
                <w:rFonts w:ascii="Times New Roman" w:cs="Times New Roman" w:eastAsia="Times New Roman" w:hAnsi="Times New Roman"/>
                <w:sz w:val="16"/>
                <w:szCs w:val="16"/>
                <w:color w:val="auto"/>
                <w:w w:val="99"/>
              </w:rPr>
              <w:t>Mount Pleasant, Texas</w:t>
            </w:r>
          </w:p>
        </w:tc>
        <w:tc>
          <w:tcPr>
            <w:tcW w:w="1320" w:type="dxa"/>
            <w:vAlign w:val="bottom"/>
            <w:gridSpan w:val="13"/>
          </w:tcPr>
          <w:p>
            <w:pPr>
              <w:jc w:val="center"/>
              <w:ind w:left="900"/>
              <w:spacing w:after="0"/>
              <w:rPr>
                <w:sz w:val="20"/>
                <w:szCs w:val="20"/>
                <w:color w:val="auto"/>
              </w:rPr>
            </w:pPr>
            <w:r>
              <w:rPr>
                <w:rFonts w:ascii="Times New Roman" w:cs="Times New Roman" w:eastAsia="Times New Roman" w:hAnsi="Times New Roman"/>
                <w:sz w:val="16"/>
                <w:szCs w:val="16"/>
                <w:color w:val="auto"/>
                <w:w w:val="94"/>
              </w:rPr>
              <w:t>3,100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-4776470</wp:posOffset>
                </wp:positionV>
                <wp:extent cx="6857365" cy="12573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52" o:spid="_x0000_s1077" style="position:absolute;margin-left:0pt;margin-top:-376.0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-4525010</wp:posOffset>
                </wp:positionV>
                <wp:extent cx="6857365" cy="12573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53" o:spid="_x0000_s1078" style="position:absolute;margin-left:0pt;margin-top:-356.2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-4273550</wp:posOffset>
                </wp:positionV>
                <wp:extent cx="6857365" cy="12573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54" o:spid="_x0000_s1079" style="position:absolute;margin-left:0pt;margin-top:-336.4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-4022090</wp:posOffset>
                </wp:positionV>
                <wp:extent cx="6857365" cy="12573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55" o:spid="_x0000_s1080" style="position:absolute;margin-left:0pt;margin-top:-316.6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-3770630</wp:posOffset>
                </wp:positionV>
                <wp:extent cx="6857365" cy="12573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56" o:spid="_x0000_s1081" style="position:absolute;margin-left:0pt;margin-top:-296.8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-3519170</wp:posOffset>
                </wp:positionV>
                <wp:extent cx="6857365" cy="12636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6365"/>
                        </a:xfrm>
                        <a:prstGeom prst="rect">
                          <a:avLst/>
                        </a:prstGeom>
                        <a:solidFill>
                          <a:srgbClr val="EAEAEA"/>
                        </a:solidFill>
                      </wps:spPr>
                      <wps:bodyPr/>
                    </wps:wsp>
                  </a:graphicData>
                </a:graphic>
              </wp:anchor>
            </w:drawing>
          </mc:Choice>
          <mc:Fallback>
            <w:pict>
              <v:rect id="Shape 57" o:spid="_x0000_s1082" style="position:absolute;margin-left:0pt;margin-top:-277.0999pt;width:539.9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-3267710</wp:posOffset>
                </wp:positionV>
                <wp:extent cx="6857365" cy="12573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58" o:spid="_x0000_s1083" style="position:absolute;margin-left:0pt;margin-top:-257.2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-3016250</wp:posOffset>
                </wp:positionV>
                <wp:extent cx="6857365" cy="12573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59" o:spid="_x0000_s1084" style="position:absolute;margin-left:0pt;margin-top:-237.4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-2764155</wp:posOffset>
                </wp:positionV>
                <wp:extent cx="6857365" cy="12509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095"/>
                        </a:xfrm>
                        <a:prstGeom prst="rect">
                          <a:avLst/>
                        </a:prstGeom>
                        <a:solidFill>
                          <a:srgbClr val="EAEAEA"/>
                        </a:solidFill>
                      </wps:spPr>
                      <wps:bodyPr/>
                    </wps:wsp>
                  </a:graphicData>
                </a:graphic>
              </wp:anchor>
            </w:drawing>
          </mc:Choice>
          <mc:Fallback>
            <w:pict>
              <v:rect id="Shape 60" o:spid="_x0000_s1085" style="position:absolute;margin-left:0pt;margin-top:-217.6499pt;width:539.9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-2513330</wp:posOffset>
                </wp:positionV>
                <wp:extent cx="6857365" cy="12573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61" o:spid="_x0000_s1086" style="position:absolute;margin-left:0pt;margin-top:-197.8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-2261870</wp:posOffset>
                </wp:positionV>
                <wp:extent cx="6857365" cy="12636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6365"/>
                        </a:xfrm>
                        <a:prstGeom prst="rect">
                          <a:avLst/>
                        </a:prstGeom>
                        <a:solidFill>
                          <a:srgbClr val="EAEAEA"/>
                        </a:solidFill>
                      </wps:spPr>
                      <wps:bodyPr/>
                    </wps:wsp>
                  </a:graphicData>
                </a:graphic>
              </wp:anchor>
            </w:drawing>
          </mc:Choice>
          <mc:Fallback>
            <w:pict>
              <v:rect id="Shape 62" o:spid="_x0000_s1087" style="position:absolute;margin-left:0pt;margin-top:-178.0999pt;width:539.9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-2009775</wp:posOffset>
                </wp:positionV>
                <wp:extent cx="6857365" cy="12509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095"/>
                        </a:xfrm>
                        <a:prstGeom prst="rect">
                          <a:avLst/>
                        </a:prstGeom>
                        <a:solidFill>
                          <a:srgbClr val="EAEAEA"/>
                        </a:solidFill>
                      </wps:spPr>
                      <wps:bodyPr/>
                    </wps:wsp>
                  </a:graphicData>
                </a:graphic>
              </wp:anchor>
            </w:drawing>
          </mc:Choice>
          <mc:Fallback>
            <w:pict>
              <v:rect id="Shape 63" o:spid="_x0000_s1088" style="position:absolute;margin-left:0pt;margin-top:-158.2499pt;width:539.9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-1758950</wp:posOffset>
                </wp:positionV>
                <wp:extent cx="6857365" cy="12573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64" o:spid="_x0000_s1089" style="position:absolute;margin-left:0pt;margin-top:-138.4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-1507490</wp:posOffset>
                </wp:positionV>
                <wp:extent cx="6857365" cy="12636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6365"/>
                        </a:xfrm>
                        <a:prstGeom prst="rect">
                          <a:avLst/>
                        </a:prstGeom>
                        <a:solidFill>
                          <a:srgbClr val="EAEAEA"/>
                        </a:solidFill>
                      </wps:spPr>
                      <wps:bodyPr/>
                    </wps:wsp>
                  </a:graphicData>
                </a:graphic>
              </wp:anchor>
            </w:drawing>
          </mc:Choice>
          <mc:Fallback>
            <w:pict>
              <v:rect id="Shape 65" o:spid="_x0000_s1090" style="position:absolute;margin-left:0pt;margin-top:-118.6999pt;width:539.9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-1255395</wp:posOffset>
                </wp:positionV>
                <wp:extent cx="6857365" cy="12509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095"/>
                        </a:xfrm>
                        <a:prstGeom prst="rect">
                          <a:avLst/>
                        </a:prstGeom>
                        <a:solidFill>
                          <a:srgbClr val="EAEAEA"/>
                        </a:solidFill>
                      </wps:spPr>
                      <wps:bodyPr/>
                    </wps:wsp>
                  </a:graphicData>
                </a:graphic>
              </wp:anchor>
            </w:drawing>
          </mc:Choice>
          <mc:Fallback>
            <w:pict>
              <v:rect id="Shape 66" o:spid="_x0000_s1091" style="position:absolute;margin-left:0pt;margin-top:-98.8499pt;width:539.9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-1004570</wp:posOffset>
                </wp:positionV>
                <wp:extent cx="6857365" cy="12636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6365"/>
                        </a:xfrm>
                        <a:prstGeom prst="rect">
                          <a:avLst/>
                        </a:prstGeom>
                        <a:solidFill>
                          <a:srgbClr val="EAEAEA"/>
                        </a:solidFill>
                      </wps:spPr>
                      <wps:bodyPr/>
                    </wps:wsp>
                  </a:graphicData>
                </a:graphic>
              </wp:anchor>
            </w:drawing>
          </mc:Choice>
          <mc:Fallback>
            <w:pict>
              <v:rect id="Shape 67" o:spid="_x0000_s1092" style="position:absolute;margin-left:0pt;margin-top:-79.0999pt;width:539.9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-753110</wp:posOffset>
                </wp:positionV>
                <wp:extent cx="6857365" cy="12636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6365"/>
                        </a:xfrm>
                        <a:prstGeom prst="rect">
                          <a:avLst/>
                        </a:prstGeom>
                        <a:solidFill>
                          <a:srgbClr val="EAEAEA"/>
                        </a:solidFill>
                      </wps:spPr>
                      <wps:bodyPr/>
                    </wps:wsp>
                  </a:graphicData>
                </a:graphic>
              </wp:anchor>
            </w:drawing>
          </mc:Choice>
          <mc:Fallback>
            <w:pict>
              <v:rect id="Shape 68" o:spid="_x0000_s1093" style="position:absolute;margin-left:0pt;margin-top:-59.2999pt;width:539.9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-501650</wp:posOffset>
                </wp:positionV>
                <wp:extent cx="6857365" cy="12573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5730"/>
                        </a:xfrm>
                        <a:prstGeom prst="rect">
                          <a:avLst/>
                        </a:prstGeom>
                        <a:solidFill>
                          <a:srgbClr val="EAEAEA"/>
                        </a:solidFill>
                      </wps:spPr>
                      <wps:bodyPr/>
                    </wps:wsp>
                  </a:graphicData>
                </a:graphic>
              </wp:anchor>
            </w:drawing>
          </mc:Choice>
          <mc:Fallback>
            <w:pict>
              <v:rect id="Shape 69" o:spid="_x0000_s1094" style="position:absolute;margin-left:0pt;margin-top:-39.4999pt;width:53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-250190</wp:posOffset>
                </wp:positionV>
                <wp:extent cx="6857365" cy="12636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26365"/>
                        </a:xfrm>
                        <a:prstGeom prst="rect">
                          <a:avLst/>
                        </a:prstGeom>
                        <a:solidFill>
                          <a:srgbClr val="EAEAEA"/>
                        </a:solidFill>
                      </wps:spPr>
                      <wps:bodyPr/>
                    </wps:wsp>
                  </a:graphicData>
                </a:graphic>
              </wp:anchor>
            </w:drawing>
          </mc:Choice>
          <mc:Fallback>
            <w:pict>
              <v:rect id="Shape 70" o:spid="_x0000_s1095" style="position:absolute;margin-left:0pt;margin-top:-19.6999pt;width:539.9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0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Owned or Leased</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7"/>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0" w:type="dxa"/>
            <w:vAlign w:val="bottom"/>
          </w:tcPr>
          <w:p>
            <w:pPr>
              <w:spacing w:after="0"/>
              <w:rPr>
                <w:sz w:val="1"/>
                <w:szCs w:val="1"/>
                <w:color w:val="auto"/>
              </w:rPr>
            </w:pPr>
          </w:p>
        </w:tc>
      </w:tr>
      <w:tr>
        <w:trPr>
          <w:trHeight w:val="240"/>
        </w:trPr>
        <w:tc>
          <w:tcPr>
            <w:tcW w:w="260" w:type="dxa"/>
            <w:vAlign w:val="bottom"/>
            <w:vMerge w:val="restart"/>
          </w:tcPr>
          <w:p>
            <w:pPr>
              <w:spacing w:after="0"/>
              <w:rPr>
                <w:sz w:val="20"/>
                <w:szCs w:val="20"/>
                <w:color w:val="auto"/>
              </w:rPr>
            </w:pPr>
          </w:p>
        </w:tc>
        <w:tc>
          <w:tcPr>
            <w:tcW w:w="2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280" w:type="dxa"/>
            <w:vAlign w:val="bottom"/>
            <w:vMerge w:val="restart"/>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vMerge w:val="restart"/>
          </w:tcPr>
          <w:p>
            <w:pPr>
              <w:spacing w:after="0"/>
              <w:rPr>
                <w:sz w:val="20"/>
                <w:szCs w:val="20"/>
                <w:color w:val="auto"/>
              </w:rPr>
            </w:pPr>
          </w:p>
        </w:tc>
        <w:tc>
          <w:tcPr>
            <w:tcW w:w="48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80" w:type="dxa"/>
            <w:vAlign w:val="bottom"/>
            <w:vMerge w:val="restart"/>
          </w:tcPr>
          <w:p>
            <w:pPr>
              <w:spacing w:after="0"/>
              <w:rPr>
                <w:sz w:val="20"/>
                <w:szCs w:val="20"/>
                <w:color w:val="auto"/>
              </w:rPr>
            </w:pPr>
          </w:p>
        </w:tc>
        <w:tc>
          <w:tcPr>
            <w:tcW w:w="4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500" w:type="dxa"/>
            <w:vAlign w:val="bottom"/>
            <w:tcBorders>
              <w:bottom w:val="single" w:sz="8" w:color="EAEAEA"/>
            </w:tcBorders>
            <w:gridSpan w:val="5"/>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Operations and fleeting</w:t>
            </w: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color w:val="auto"/>
                <w:w w:val="95"/>
              </w:rPr>
              <w:t>Owned</w:t>
            </w:r>
          </w:p>
        </w:tc>
        <w:tc>
          <w:tcPr>
            <w:tcW w:w="320" w:type="dxa"/>
            <w:vAlign w:val="bottom"/>
          </w:tcPr>
          <w:p>
            <w:pPr>
              <w:spacing w:after="0"/>
              <w:rPr>
                <w:sz w:val="18"/>
                <w:szCs w:val="18"/>
                <w:color w:val="auto"/>
              </w:rPr>
            </w:pPr>
          </w:p>
        </w:tc>
        <w:tc>
          <w:tcPr>
            <w:tcW w:w="246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w w:val="96"/>
              </w:rPr>
              <w:t>Operations, fleeting, shipyard, training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and cleaning</w:t>
            </w:r>
          </w:p>
        </w:tc>
        <w:tc>
          <w:tcPr>
            <w:tcW w:w="0" w:type="dxa"/>
            <w:vAlign w:val="bottom"/>
          </w:tcPr>
          <w:p>
            <w:pPr>
              <w:spacing w:after="0"/>
              <w:rPr>
                <w:sz w:val="1"/>
                <w:szCs w:val="1"/>
                <w:color w:val="auto"/>
              </w:rPr>
            </w:pPr>
          </w:p>
        </w:tc>
      </w:tr>
      <w:tr>
        <w:trPr>
          <w:trHeight w:val="38"/>
        </w:trPr>
        <w:tc>
          <w:tcPr>
            <w:tcW w:w="26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16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480" w:type="dxa"/>
            <w:vAlign w:val="bottom"/>
            <w:vMerge w:val="restart"/>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700" w:type="dxa"/>
            <w:vAlign w:val="bottom"/>
            <w:tcBorders>
              <w:bottom w:val="single" w:sz="8" w:color="EAEAEA"/>
            </w:tcBorders>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Operations</w:t>
            </w:r>
          </w:p>
        </w:tc>
        <w:tc>
          <w:tcPr>
            <w:tcW w:w="26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9"/>
          </w:tcPr>
          <w:p>
            <w:pPr>
              <w:jc w:val="center"/>
              <w:ind w:right="960"/>
              <w:spacing w:after="0"/>
              <w:rPr>
                <w:sz w:val="20"/>
                <w:szCs w:val="20"/>
                <w:color w:val="auto"/>
              </w:rPr>
            </w:pPr>
            <w:r>
              <w:rPr>
                <w:rFonts w:ascii="Times New Roman" w:cs="Times New Roman" w:eastAsia="Times New Roman" w:hAnsi="Times New Roman"/>
                <w:sz w:val="16"/>
                <w:szCs w:val="16"/>
                <w:color w:val="auto"/>
                <w:w w:val="99"/>
              </w:rPr>
              <w:t>Fueling and fleeting</w:t>
            </w:r>
          </w:p>
        </w:tc>
        <w:tc>
          <w:tcPr>
            <w:tcW w:w="0" w:type="dxa"/>
            <w:vAlign w:val="bottom"/>
          </w:tcPr>
          <w:p>
            <w:pPr>
              <w:spacing w:after="0"/>
              <w:rPr>
                <w:sz w:val="1"/>
                <w:szCs w:val="1"/>
                <w:color w:val="auto"/>
              </w:rPr>
            </w:pPr>
          </w:p>
        </w:tc>
      </w:tr>
      <w:tr>
        <w:trPr>
          <w:trHeight w:val="37"/>
        </w:trPr>
        <w:tc>
          <w:tcPr>
            <w:tcW w:w="26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vMerge w:val="restart"/>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200" w:type="dxa"/>
            <w:vAlign w:val="bottom"/>
            <w:gridSpan w:val="3"/>
          </w:tcPr>
          <w:p>
            <w:pPr>
              <w:spacing w:after="0"/>
              <w:rPr>
                <w:sz w:val="3"/>
                <w:szCs w:val="3"/>
                <w:color w:val="auto"/>
              </w:rPr>
            </w:pPr>
          </w:p>
        </w:tc>
        <w:tc>
          <w:tcPr>
            <w:tcW w:w="1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vMerge w:val="continue"/>
          </w:tcPr>
          <w:p>
            <w:pPr>
              <w:spacing w:after="0"/>
              <w:rPr>
                <w:sz w:val="10"/>
                <w:szCs w:val="10"/>
                <w:color w:val="auto"/>
              </w:rPr>
            </w:pPr>
          </w:p>
        </w:tc>
        <w:tc>
          <w:tcPr>
            <w:tcW w:w="960" w:type="dxa"/>
            <w:vAlign w:val="bottom"/>
            <w:gridSpan w:val="5"/>
            <w:shd w:val="clear" w:color="auto" w:fill="EAEAEA"/>
          </w:tcPr>
          <w:p>
            <w:pPr>
              <w:jc w:val="center"/>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Owned/Leased</w:t>
            </w:r>
          </w:p>
        </w:tc>
        <w:tc>
          <w:tcPr>
            <w:tcW w:w="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580" w:type="dxa"/>
            <w:vAlign w:val="bottom"/>
            <w:tcBorders>
              <w:bottom w:val="single" w:sz="8" w:color="EAEAEA"/>
            </w:tcBorders>
            <w:gridSpan w:val="11"/>
            <w:shd w:val="clear" w:color="auto" w:fill="EAEAEA"/>
          </w:tcPr>
          <w:p>
            <w:pPr>
              <w:jc w:val="center"/>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KMT, KDS and Corporate Headquarters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6"/>
          </w:tcPr>
          <w:p>
            <w:pPr>
              <w:jc w:val="center"/>
              <w:ind w:right="840"/>
              <w:spacing w:after="0"/>
              <w:rPr>
                <w:sz w:val="20"/>
                <w:szCs w:val="20"/>
                <w:color w:val="auto"/>
              </w:rPr>
            </w:pPr>
            <w:r>
              <w:rPr>
                <w:rFonts w:ascii="Times New Roman" w:cs="Times New Roman" w:eastAsia="Times New Roman" w:hAnsi="Times New Roman"/>
                <w:sz w:val="16"/>
                <w:szCs w:val="16"/>
                <w:color w:val="auto"/>
                <w:w w:val="99"/>
              </w:rPr>
              <w:t>Fleeting</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80" w:type="dxa"/>
            <w:vAlign w:val="bottom"/>
            <w:gridSpan w:val="2"/>
          </w:tcPr>
          <w:p>
            <w:pPr>
              <w:spacing w:after="0"/>
              <w:rPr>
                <w:sz w:val="3"/>
                <w:szCs w:val="3"/>
                <w:color w:val="auto"/>
              </w:rPr>
            </w:pPr>
          </w:p>
        </w:tc>
        <w:tc>
          <w:tcPr>
            <w:tcW w:w="1200" w:type="dxa"/>
            <w:vAlign w:val="bottom"/>
            <w:gridSpan w:val="3"/>
          </w:tcPr>
          <w:p>
            <w:pPr>
              <w:spacing w:after="0"/>
              <w:rPr>
                <w:sz w:val="3"/>
                <w:szCs w:val="3"/>
                <w:color w:val="auto"/>
              </w:rPr>
            </w:pPr>
          </w:p>
        </w:tc>
        <w:tc>
          <w:tcPr>
            <w:tcW w:w="160" w:type="dxa"/>
            <w:vAlign w:val="bottom"/>
            <w:gridSpan w:val="2"/>
          </w:tcPr>
          <w:p>
            <w:pPr>
              <w:spacing w:after="0"/>
              <w:rPr>
                <w:sz w:val="3"/>
                <w:szCs w:val="3"/>
                <w:color w:val="auto"/>
              </w:rPr>
            </w:pPr>
          </w:p>
        </w:tc>
        <w:tc>
          <w:tcPr>
            <w:tcW w:w="40" w:type="dxa"/>
            <w:vAlign w:val="bottom"/>
            <w:vMerge w:val="restart"/>
          </w:tcPr>
          <w:p>
            <w:pPr>
              <w:spacing w:after="0"/>
              <w:rPr>
                <w:sz w:val="3"/>
                <w:szCs w:val="3"/>
                <w:color w:val="auto"/>
              </w:rPr>
            </w:pPr>
          </w:p>
        </w:tc>
        <w:tc>
          <w:tcPr>
            <w:tcW w:w="920" w:type="dxa"/>
            <w:vAlign w:val="bottom"/>
            <w:gridSpan w:val="2"/>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2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540" w:type="dxa"/>
            <w:vAlign w:val="bottom"/>
            <w:tcBorders>
              <w:bottom w:val="single" w:sz="8" w:color="EAEAEA"/>
            </w:tcBorders>
            <w:gridSpan w:val="7"/>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Operations and dockage</w:t>
            </w:r>
          </w:p>
        </w:tc>
        <w:tc>
          <w:tcPr>
            <w:tcW w:w="4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color w:val="auto"/>
                <w:w w:val="99"/>
              </w:rPr>
              <w:t>Fleeting</w:t>
            </w:r>
          </w:p>
        </w:tc>
        <w:tc>
          <w:tcPr>
            <w:tcW w:w="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220" w:type="dxa"/>
            <w:vAlign w:val="bottom"/>
            <w:gridSpan w:val="3"/>
            <w:vMerge w:val="restart"/>
          </w:tcPr>
          <w:p>
            <w:pPr>
              <w:spacing w:after="0"/>
              <w:rPr>
                <w:sz w:val="3"/>
                <w:szCs w:val="3"/>
                <w:color w:val="auto"/>
              </w:rPr>
            </w:pPr>
          </w:p>
        </w:tc>
        <w:tc>
          <w:tcPr>
            <w:tcW w:w="1200" w:type="dxa"/>
            <w:vAlign w:val="bottom"/>
            <w:gridSpan w:val="3"/>
            <w:vMerge w:val="restart"/>
          </w:tcPr>
          <w:p>
            <w:pPr>
              <w:spacing w:after="0"/>
              <w:rPr>
                <w:sz w:val="3"/>
                <w:szCs w:val="3"/>
                <w:color w:val="auto"/>
              </w:rPr>
            </w:pPr>
          </w:p>
        </w:tc>
        <w:tc>
          <w:tcPr>
            <w:tcW w:w="200" w:type="dxa"/>
            <w:vAlign w:val="bottom"/>
            <w:gridSpan w:val="3"/>
            <w:vMerge w:val="restart"/>
          </w:tcPr>
          <w:p>
            <w:pPr>
              <w:spacing w:after="0"/>
              <w:rPr>
                <w:sz w:val="3"/>
                <w:szCs w:val="3"/>
                <w:color w:val="auto"/>
              </w:rPr>
            </w:pPr>
          </w:p>
        </w:tc>
        <w:tc>
          <w:tcPr>
            <w:tcW w:w="920" w:type="dxa"/>
            <w:vAlign w:val="bottom"/>
            <w:gridSpan w:val="2"/>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vMerge w:val="restart"/>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20" w:type="dxa"/>
            <w:vAlign w:val="bottom"/>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vMerge w:val="continue"/>
            <w:shd w:val="clear" w:color="auto" w:fill="EAEAEA"/>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620" w:type="dxa"/>
            <w:vAlign w:val="bottom"/>
            <w:tcBorders>
              <w:bottom w:val="single" w:sz="8" w:color="EAEAEA"/>
            </w:tcBorders>
            <w:gridSpan w:val="9"/>
            <w:shd w:val="clear" w:color="auto" w:fill="EAEAEA"/>
          </w:tcPr>
          <w:p>
            <w:pPr>
              <w:jc w:val="center"/>
              <w:spacing w:after="0" w:line="93" w:lineRule="exact"/>
              <w:rPr>
                <w:sz w:val="20"/>
                <w:szCs w:val="20"/>
                <w:color w:val="auto"/>
              </w:rPr>
            </w:pPr>
            <w:r>
              <w:rPr>
                <w:rFonts w:ascii="Times New Roman" w:cs="Times New Roman" w:eastAsia="Times New Roman" w:hAnsi="Times New Roman"/>
                <w:sz w:val="10"/>
                <w:szCs w:val="10"/>
                <w:color w:val="auto"/>
                <w:shd w:val="clear" w:color="auto" w:fill="EAEAEA"/>
              </w:rPr>
              <w:t>Operations and inventory</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gridSpan w:val="12"/>
          </w:tcPr>
          <w:p>
            <w:pPr>
              <w:jc w:val="center"/>
              <w:ind w:right="440"/>
              <w:spacing w:after="0"/>
              <w:rPr>
                <w:sz w:val="20"/>
                <w:szCs w:val="20"/>
                <w:color w:val="auto"/>
              </w:rPr>
            </w:pPr>
            <w:r>
              <w:rPr>
                <w:rFonts w:ascii="Times New Roman" w:cs="Times New Roman" w:eastAsia="Times New Roman" w:hAnsi="Times New Roman"/>
                <w:sz w:val="16"/>
                <w:szCs w:val="16"/>
                <w:color w:val="auto"/>
                <w:w w:val="99"/>
              </w:rPr>
              <w:t>Operations, inventory and dockage</w:t>
            </w: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70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vMerge w:val="restart"/>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3"/>
            <w:vMerge w:val="continue"/>
            <w:shd w:val="clear" w:color="auto" w:fill="EAEAEA"/>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00" w:type="dxa"/>
            <w:vAlign w:val="bottom"/>
            <w:tcBorders>
              <w:bottom w:val="single" w:sz="8" w:color="EAEAEA"/>
            </w:tcBorders>
            <w:shd w:val="clear" w:color="auto" w:fill="EAEAEA"/>
          </w:tcPr>
          <w:p>
            <w:pPr>
              <w:jc w:val="center"/>
              <w:spacing w:after="0" w:line="94" w:lineRule="exact"/>
              <w:rPr>
                <w:sz w:val="20"/>
                <w:szCs w:val="20"/>
                <w:color w:val="auto"/>
              </w:rPr>
            </w:pPr>
            <w:r>
              <w:rPr>
                <w:rFonts w:ascii="Times New Roman" w:cs="Times New Roman" w:eastAsia="Times New Roman" w:hAnsi="Times New Roman"/>
                <w:sz w:val="10"/>
                <w:szCs w:val="10"/>
                <w:color w:val="auto"/>
                <w:shd w:val="clear" w:color="auto" w:fill="EAEAEA"/>
              </w:rPr>
              <w:t>Operations</w:t>
            </w:r>
          </w:p>
        </w:tc>
        <w:tc>
          <w:tcPr>
            <w:tcW w:w="260" w:type="dxa"/>
            <w:vAlign w:val="bottom"/>
            <w:vMerge w:val="continue"/>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8"/>
        </w:trPr>
        <w:tc>
          <w:tcPr>
            <w:tcW w:w="260" w:type="dxa"/>
            <w:vAlign w:val="bottom"/>
          </w:tcPr>
          <w:p>
            <w:pPr>
              <w:spacing w:after="0"/>
              <w:rPr>
                <w:sz w:val="24"/>
                <w:szCs w:val="24"/>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9"/>
          </w:tcPr>
          <w:p>
            <w:pPr>
              <w:jc w:val="center"/>
              <w:ind w:right="980"/>
              <w:spacing w:after="0"/>
              <w:rPr>
                <w:sz w:val="20"/>
                <w:szCs w:val="20"/>
                <w:color w:val="auto"/>
              </w:rPr>
            </w:pPr>
            <w:r>
              <w:rPr>
                <w:rFonts w:ascii="Times New Roman" w:cs="Times New Roman" w:eastAsia="Times New Roman" w:hAnsi="Times New Roman"/>
                <w:sz w:val="16"/>
                <w:szCs w:val="16"/>
                <w:color w:val="auto"/>
                <w:w w:val="99"/>
              </w:rPr>
              <w:t>Service and repairs</w:t>
            </w: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280" w:type="dxa"/>
            <w:vAlign w:val="bottom"/>
            <w:gridSpan w:val="2"/>
            <w:vMerge w:val="restart"/>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gridSpan w:val="3"/>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3"/>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3"/>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color w:val="auto"/>
                <w:w w:val="95"/>
              </w:rPr>
              <w:t>Owned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3"/>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80" w:type="dxa"/>
            <w:vAlign w:val="bottom"/>
            <w:gridSpan w:val="2"/>
            <w:vMerge w:val="restart"/>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gridSpan w:val="3"/>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color w:val="auto"/>
                <w:w w:val="95"/>
              </w:rPr>
              <w:t>Owned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3"/>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color w:val="auto"/>
                <w:w w:val="95"/>
              </w:rPr>
              <w:t>Owned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vMerge w:val="restart"/>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vMerge w:val="restart"/>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3"/>
            <w:vMerge w:val="continue"/>
            <w:shd w:val="clear" w:color="auto" w:fill="EAEAEA"/>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200" w:type="dxa"/>
            <w:vAlign w:val="bottom"/>
            <w:tcBorders>
              <w:bottom w:val="single" w:sz="8" w:color="EAEAEA"/>
            </w:tcBorders>
            <w:gridSpan w:val="3"/>
            <w:shd w:val="clear" w:color="auto" w:fill="EAEAEA"/>
          </w:tcPr>
          <w:p>
            <w:pPr>
              <w:jc w:val="center"/>
              <w:spacing w:after="0" w:line="94" w:lineRule="exact"/>
              <w:rPr>
                <w:sz w:val="20"/>
                <w:szCs w:val="20"/>
                <w:color w:val="auto"/>
              </w:rPr>
            </w:pPr>
            <w:r>
              <w:rPr>
                <w:rFonts w:ascii="Times New Roman" w:cs="Times New Roman" w:eastAsia="Times New Roman" w:hAnsi="Times New Roman"/>
                <w:sz w:val="10"/>
                <w:szCs w:val="10"/>
                <w:color w:val="auto"/>
                <w:shd w:val="clear" w:color="auto" w:fill="EAEAEA"/>
              </w:rPr>
              <w:t>Service and repairs</w:t>
            </w:r>
          </w:p>
        </w:tc>
        <w:tc>
          <w:tcPr>
            <w:tcW w:w="11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500" w:type="dxa"/>
            <w:vAlign w:val="bottom"/>
            <w:gridSpan w:val="7"/>
          </w:tcPr>
          <w:p>
            <w:pPr>
              <w:jc w:val="center"/>
              <w:ind w:right="20"/>
              <w:spacing w:after="0"/>
              <w:rPr>
                <w:sz w:val="20"/>
                <w:szCs w:val="20"/>
                <w:color w:val="auto"/>
              </w:rPr>
            </w:pPr>
            <w:r>
              <w:rPr>
                <w:rFonts w:ascii="Times New Roman" w:cs="Times New Roman" w:eastAsia="Times New Roman" w:hAnsi="Times New Roman"/>
                <w:sz w:val="16"/>
                <w:szCs w:val="16"/>
                <w:color w:val="auto"/>
                <w:w w:val="99"/>
              </w:rPr>
              <w:t>Owned/Leased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w w:val="96"/>
              </w:rPr>
              <w:t>Manufacturing, service and</w:t>
            </w:r>
          </w:p>
        </w:tc>
        <w:tc>
          <w:tcPr>
            <w:tcW w:w="112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repairs</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80" w:type="dxa"/>
            <w:vAlign w:val="bottom"/>
            <w:gridSpan w:val="2"/>
            <w:vMerge w:val="restart"/>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gridSpan w:val="3"/>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80" w:type="dxa"/>
            <w:vAlign w:val="bottom"/>
            <w:gridSpan w:val="2"/>
            <w:vMerge w:val="restart"/>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gridSpan w:val="3"/>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3"/>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80" w:type="dxa"/>
            <w:vAlign w:val="bottom"/>
            <w:gridSpan w:val="2"/>
            <w:vMerge w:val="restart"/>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gridSpan w:val="3"/>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20" w:type="dxa"/>
            <w:vAlign w:val="bottom"/>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Leased</w:t>
            </w:r>
          </w:p>
        </w:tc>
        <w:tc>
          <w:tcPr>
            <w:tcW w:w="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tcBorders>
              <w:bottom w:val="single" w:sz="8" w:color="EAEAEA"/>
            </w:tcBorders>
            <w:gridSpan w:val="3"/>
            <w:shd w:val="clear" w:color="auto" w:fill="EAEAEA"/>
          </w:tcPr>
          <w:p>
            <w:pPr>
              <w:jc w:val="center"/>
              <w:spacing w:after="0" w:line="113" w:lineRule="exact"/>
              <w:rPr>
                <w:sz w:val="20"/>
                <w:szCs w:val="20"/>
                <w:color w:val="auto"/>
              </w:rPr>
            </w:pPr>
            <w:r>
              <w:rPr>
                <w:rFonts w:ascii="Times New Roman" w:cs="Times New Roman" w:eastAsia="Times New Roman" w:hAnsi="Times New Roman"/>
                <w:sz w:val="13"/>
                <w:szCs w:val="13"/>
                <w:color w:val="auto"/>
                <w:shd w:val="clear" w:color="auto" w:fill="EAEAEA"/>
              </w:rPr>
              <w:t>Service and repairs</w:t>
            </w:r>
          </w:p>
        </w:tc>
        <w:tc>
          <w:tcPr>
            <w:tcW w:w="11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520" w:type="dxa"/>
            <w:vAlign w:val="bottom"/>
            <w:gridSpan w:val="2"/>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0" w:type="dxa"/>
            <w:vAlign w:val="bottom"/>
            <w:gridSpan w:val="3"/>
            <w:vMerge w:val="restart"/>
          </w:tcPr>
          <w:p>
            <w:pPr>
              <w:spacing w:after="0"/>
              <w:rPr>
                <w:sz w:val="3"/>
                <w:szCs w:val="3"/>
                <w:color w:val="auto"/>
              </w:rPr>
            </w:pPr>
          </w:p>
        </w:tc>
        <w:tc>
          <w:tcPr>
            <w:tcW w:w="1120" w:type="dxa"/>
            <w:vAlign w:val="bottom"/>
            <w:gridSpan w:val="5"/>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vMerge w:val="restart"/>
            <w:shd w:val="clear" w:color="auto" w:fill="EAEAEA"/>
          </w:tcPr>
          <w:p>
            <w:pPr>
              <w:jc w:val="center"/>
              <w:ind w:right="20"/>
              <w:spacing w:after="0" w:line="114" w:lineRule="exact"/>
              <w:rPr>
                <w:sz w:val="20"/>
                <w:szCs w:val="20"/>
                <w:color w:val="auto"/>
              </w:rPr>
            </w:pPr>
            <w:r>
              <w:rPr>
                <w:rFonts w:ascii="Times New Roman" w:cs="Times New Roman" w:eastAsia="Times New Roman" w:hAnsi="Times New Roman"/>
                <w:sz w:val="13"/>
                <w:szCs w:val="13"/>
                <w:color w:val="auto"/>
                <w:shd w:val="clear" w:color="auto" w:fill="EAEAEA"/>
              </w:rPr>
              <w:t>Owned</w:t>
            </w:r>
          </w:p>
        </w:tc>
        <w:tc>
          <w:tcPr>
            <w:tcW w:w="5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3"/>
            <w:vMerge w:val="continue"/>
            <w:shd w:val="clear" w:color="auto" w:fill="EAEAEA"/>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200" w:type="dxa"/>
            <w:vAlign w:val="bottom"/>
            <w:tcBorders>
              <w:bottom w:val="single" w:sz="8" w:color="EAEAEA"/>
            </w:tcBorders>
            <w:gridSpan w:val="3"/>
            <w:shd w:val="clear" w:color="auto" w:fill="EAEAEA"/>
          </w:tcPr>
          <w:p>
            <w:pPr>
              <w:jc w:val="center"/>
              <w:spacing w:after="0" w:line="94" w:lineRule="exact"/>
              <w:rPr>
                <w:sz w:val="20"/>
                <w:szCs w:val="20"/>
                <w:color w:val="auto"/>
              </w:rPr>
            </w:pPr>
            <w:r>
              <w:rPr>
                <w:rFonts w:ascii="Times New Roman" w:cs="Times New Roman" w:eastAsia="Times New Roman" w:hAnsi="Times New Roman"/>
                <w:sz w:val="10"/>
                <w:szCs w:val="10"/>
                <w:color w:val="auto"/>
                <w:shd w:val="clear" w:color="auto" w:fill="EAEAEA"/>
              </w:rPr>
              <w:t>Service and repairs</w:t>
            </w:r>
          </w:p>
        </w:tc>
        <w:tc>
          <w:tcPr>
            <w:tcW w:w="11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w w:val="96"/>
              </w:rPr>
              <w:t>Leased</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Service and repairs</w:t>
            </w:r>
          </w:p>
        </w:tc>
        <w:tc>
          <w:tcPr>
            <w:tcW w:w="1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2">
            <w:col w:w="5260" w:space="280"/>
            <w:col w:w="5260"/>
          </w:cols>
          <w:pgMar w:left="720" w:top="926" w:right="720" w:bottom="187"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4060" w:type="dxa"/>
            <w:vAlign w:val="bottom"/>
            <w:tcBorders>
              <w:bottom w:val="single" w:sz="8" w:color="EAEAEA"/>
            </w:tcBorders>
            <w:shd w:val="clear" w:color="auto" w:fill="EAEAEA"/>
          </w:tcPr>
          <w:p>
            <w:pPr>
              <w:jc w:val="center"/>
              <w:ind w:right="840"/>
              <w:spacing w:after="0" w:line="168" w:lineRule="exact"/>
              <w:rPr>
                <w:sz w:val="20"/>
                <w:szCs w:val="20"/>
                <w:color w:val="auto"/>
              </w:rPr>
            </w:pPr>
            <w:r>
              <w:rPr>
                <w:rFonts w:ascii="Times New Roman" w:cs="Times New Roman" w:eastAsia="Times New Roman" w:hAnsi="Times New Roman"/>
                <w:sz w:val="16"/>
                <w:szCs w:val="16"/>
                <w:color w:val="auto"/>
                <w:w w:val="99"/>
                <w:shd w:val="clear" w:color="auto" w:fill="EAEAEA"/>
              </w:rPr>
              <w:t>New Iberia, Louisiana</w:t>
            </w:r>
          </w:p>
        </w:tc>
        <w:tc>
          <w:tcPr>
            <w:tcW w:w="1120" w:type="dxa"/>
            <w:vAlign w:val="bottom"/>
            <w:tcBorders>
              <w:bottom w:val="single" w:sz="8" w:color="EAEAEA"/>
            </w:tcBorders>
            <w:shd w:val="clear" w:color="auto" w:fill="EAEAEA"/>
          </w:tcPr>
          <w:p>
            <w:pPr>
              <w:jc w:val="right"/>
              <w:ind w:right="580"/>
              <w:spacing w:after="0" w:line="168" w:lineRule="exact"/>
              <w:rPr>
                <w:sz w:val="20"/>
                <w:szCs w:val="20"/>
                <w:color w:val="auto"/>
              </w:rPr>
            </w:pPr>
            <w:r>
              <w:rPr>
                <w:rFonts w:ascii="Times New Roman" w:cs="Times New Roman" w:eastAsia="Times New Roman" w:hAnsi="Times New Roman"/>
                <w:sz w:val="16"/>
                <w:szCs w:val="16"/>
                <w:color w:val="auto"/>
                <w:w w:val="99"/>
                <w:shd w:val="clear" w:color="auto" w:fill="EAEAEA"/>
              </w:rPr>
              <w:t>33,000</w:t>
            </w:r>
          </w:p>
        </w:tc>
        <w:tc>
          <w:tcPr>
            <w:tcW w:w="2180" w:type="dxa"/>
            <w:vAlign w:val="bottom"/>
            <w:tcBorders>
              <w:bottom w:val="single" w:sz="8" w:color="EAEAEA"/>
            </w:tcBorders>
            <w:shd w:val="clear" w:color="auto" w:fill="EAEAEA"/>
          </w:tcPr>
          <w:p>
            <w:pPr>
              <w:jc w:val="center"/>
              <w:spacing w:after="0" w:line="168" w:lineRule="exact"/>
              <w:rPr>
                <w:sz w:val="20"/>
                <w:szCs w:val="20"/>
                <w:color w:val="auto"/>
              </w:rPr>
            </w:pPr>
            <w:r>
              <w:rPr>
                <w:rFonts w:ascii="Times New Roman" w:cs="Times New Roman" w:eastAsia="Times New Roman" w:hAnsi="Times New Roman"/>
                <w:sz w:val="16"/>
                <w:szCs w:val="16"/>
                <w:color w:val="auto"/>
                <w:w w:val="95"/>
                <w:shd w:val="clear" w:color="auto" w:fill="EAEAEA"/>
              </w:rPr>
              <w:t>Owned</w:t>
            </w:r>
          </w:p>
        </w:tc>
        <w:tc>
          <w:tcPr>
            <w:tcW w:w="3440" w:type="dxa"/>
            <w:vAlign w:val="bottom"/>
            <w:tcBorders>
              <w:bottom w:val="single" w:sz="8" w:color="EAEAEA"/>
            </w:tcBorders>
            <w:shd w:val="clear" w:color="auto" w:fill="EAEAEA"/>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65"/>
        </w:trPr>
        <w:tc>
          <w:tcPr>
            <w:tcW w:w="4060" w:type="dxa"/>
            <w:vAlign w:val="bottom"/>
          </w:tcPr>
          <w:p>
            <w:pPr>
              <w:jc w:val="center"/>
              <w:ind w:right="820"/>
              <w:spacing w:after="0" w:line="165" w:lineRule="exact"/>
              <w:rPr>
                <w:sz w:val="20"/>
                <w:szCs w:val="20"/>
                <w:color w:val="auto"/>
              </w:rPr>
            </w:pPr>
            <w:r>
              <w:rPr>
                <w:rFonts w:ascii="Times New Roman" w:cs="Times New Roman" w:eastAsia="Times New Roman" w:hAnsi="Times New Roman"/>
                <w:sz w:val="16"/>
                <w:szCs w:val="16"/>
                <w:color w:val="auto"/>
                <w:highlight w:val="white"/>
              </w:rPr>
              <w:t>New Orleans, Louisiana</w:t>
            </w:r>
          </w:p>
        </w:tc>
        <w:tc>
          <w:tcPr>
            <w:tcW w:w="1120" w:type="dxa"/>
            <w:vAlign w:val="bottom"/>
          </w:tcPr>
          <w:p>
            <w:pPr>
              <w:jc w:val="right"/>
              <w:ind w:right="580"/>
              <w:spacing w:after="0" w:line="165" w:lineRule="exact"/>
              <w:rPr>
                <w:sz w:val="20"/>
                <w:szCs w:val="20"/>
                <w:color w:val="auto"/>
              </w:rPr>
            </w:pPr>
            <w:r>
              <w:rPr>
                <w:rFonts w:ascii="Times New Roman" w:cs="Times New Roman" w:eastAsia="Times New Roman" w:hAnsi="Times New Roman"/>
                <w:sz w:val="16"/>
                <w:szCs w:val="16"/>
                <w:color w:val="auto"/>
                <w:highlight w:val="white"/>
                <w:w w:val="99"/>
              </w:rPr>
              <w:t>29,200</w:t>
            </w:r>
          </w:p>
        </w:tc>
        <w:tc>
          <w:tcPr>
            <w:tcW w:w="21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highlight w:val="white"/>
                <w:w w:val="96"/>
              </w:rPr>
              <w:t>Leased</w:t>
            </w:r>
          </w:p>
        </w:tc>
        <w:tc>
          <w:tcPr>
            <w:tcW w:w="34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highlight w:val="white"/>
                <w:w w:val="97"/>
              </w:rPr>
              <w:t>Service and repairs</w:t>
            </w:r>
          </w:p>
        </w:tc>
      </w:tr>
      <w:tr>
        <w:trPr>
          <w:trHeight w:val="33"/>
        </w:trPr>
        <w:tc>
          <w:tcPr>
            <w:tcW w:w="4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178"/>
        </w:trPr>
        <w:tc>
          <w:tcPr>
            <w:tcW w:w="4060" w:type="dxa"/>
            <w:vAlign w:val="bottom"/>
            <w:tcBorders>
              <w:bottom w:val="single" w:sz="8" w:color="EAEAEA"/>
            </w:tcBorders>
            <w:shd w:val="clear" w:color="auto" w:fill="EAEAEA"/>
          </w:tcPr>
          <w:p>
            <w:pPr>
              <w:jc w:val="center"/>
              <w:ind w:right="820"/>
              <w:spacing w:after="0" w:line="166" w:lineRule="exact"/>
              <w:rPr>
                <w:sz w:val="20"/>
                <w:szCs w:val="20"/>
                <w:color w:val="auto"/>
              </w:rPr>
            </w:pPr>
            <w:r>
              <w:rPr>
                <w:rFonts w:ascii="Times New Roman" w:cs="Times New Roman" w:eastAsia="Times New Roman" w:hAnsi="Times New Roman"/>
                <w:sz w:val="16"/>
                <w:szCs w:val="16"/>
                <w:color w:val="auto"/>
                <w:shd w:val="clear" w:color="auto" w:fill="EAEAEA"/>
              </w:rPr>
              <w:t>Ocala, Florida</w:t>
            </w:r>
          </w:p>
        </w:tc>
        <w:tc>
          <w:tcPr>
            <w:tcW w:w="1120" w:type="dxa"/>
            <w:vAlign w:val="bottom"/>
            <w:tcBorders>
              <w:bottom w:val="single" w:sz="8" w:color="EAEAEA"/>
            </w:tcBorders>
            <w:shd w:val="clear" w:color="auto" w:fill="EAEAEA"/>
          </w:tcPr>
          <w:p>
            <w:pPr>
              <w:jc w:val="right"/>
              <w:ind w:right="580"/>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15,200</w:t>
            </w:r>
          </w:p>
        </w:tc>
        <w:tc>
          <w:tcPr>
            <w:tcW w:w="218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5"/>
                <w:shd w:val="clear" w:color="auto" w:fill="EAEAEA"/>
              </w:rPr>
              <w:t>Owned</w:t>
            </w:r>
          </w:p>
        </w:tc>
        <w:tc>
          <w:tcPr>
            <w:tcW w:w="344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98"/>
        </w:trPr>
        <w:tc>
          <w:tcPr>
            <w:tcW w:w="4060" w:type="dxa"/>
            <w:vAlign w:val="bottom"/>
          </w:tcPr>
          <w:p>
            <w:pPr>
              <w:jc w:val="center"/>
              <w:ind w:right="820"/>
              <w:spacing w:after="0"/>
              <w:rPr>
                <w:sz w:val="20"/>
                <w:szCs w:val="20"/>
                <w:color w:val="auto"/>
              </w:rPr>
            </w:pPr>
            <w:r>
              <w:rPr>
                <w:rFonts w:ascii="Times New Roman" w:cs="Times New Roman" w:eastAsia="Times New Roman" w:hAnsi="Times New Roman"/>
                <w:sz w:val="16"/>
                <w:szCs w:val="16"/>
                <w:color w:val="auto"/>
                <w:w w:val="99"/>
              </w:rPr>
              <w:t>Odessa, Texas</w:t>
            </w: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49,500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Owned</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Service and repairs</w:t>
            </w:r>
          </w:p>
        </w:tc>
      </w:tr>
      <w:tr>
        <w:trPr>
          <w:trHeight w:val="178"/>
        </w:trPr>
        <w:tc>
          <w:tcPr>
            <w:tcW w:w="4060" w:type="dxa"/>
            <w:vAlign w:val="bottom"/>
            <w:tcBorders>
              <w:bottom w:val="single" w:sz="8" w:color="EAEAEA"/>
            </w:tcBorders>
            <w:shd w:val="clear" w:color="auto" w:fill="EAEAEA"/>
          </w:tcPr>
          <w:p>
            <w:pPr>
              <w:jc w:val="center"/>
              <w:ind w:right="820"/>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Oklahoma City, Oklahoma</w:t>
            </w:r>
          </w:p>
        </w:tc>
        <w:tc>
          <w:tcPr>
            <w:tcW w:w="1120" w:type="dxa"/>
            <w:vAlign w:val="bottom"/>
            <w:tcBorders>
              <w:bottom w:val="single" w:sz="8" w:color="EAEAEA"/>
            </w:tcBorders>
            <w:shd w:val="clear" w:color="auto" w:fill="EAEAEA"/>
          </w:tcPr>
          <w:p>
            <w:pPr>
              <w:jc w:val="right"/>
              <w:ind w:right="540"/>
              <w:spacing w:after="0" w:line="166" w:lineRule="exact"/>
              <w:rPr>
                <w:sz w:val="20"/>
                <w:szCs w:val="20"/>
                <w:color w:val="auto"/>
              </w:rPr>
            </w:pPr>
            <w:r>
              <w:rPr>
                <w:rFonts w:ascii="Times New Roman" w:cs="Times New Roman" w:eastAsia="Times New Roman" w:hAnsi="Times New Roman"/>
                <w:sz w:val="16"/>
                <w:szCs w:val="16"/>
                <w:color w:val="auto"/>
                <w:w w:val="92"/>
                <w:shd w:val="clear" w:color="auto" w:fill="EAEAEA"/>
              </w:rPr>
              <w:t>446,400</w:t>
            </w:r>
          </w:p>
        </w:tc>
        <w:tc>
          <w:tcPr>
            <w:tcW w:w="218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Owned/Leased</w:t>
            </w:r>
          </w:p>
        </w:tc>
        <w:tc>
          <w:tcPr>
            <w:tcW w:w="344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Manufacturing, service and repairs</w:t>
            </w:r>
          </w:p>
        </w:tc>
      </w:tr>
      <w:tr>
        <w:trPr>
          <w:trHeight w:val="198"/>
        </w:trPr>
        <w:tc>
          <w:tcPr>
            <w:tcW w:w="4060" w:type="dxa"/>
            <w:vAlign w:val="bottom"/>
          </w:tcPr>
          <w:p>
            <w:pPr>
              <w:jc w:val="center"/>
              <w:ind w:right="840"/>
              <w:spacing w:after="0"/>
              <w:rPr>
                <w:sz w:val="20"/>
                <w:szCs w:val="20"/>
                <w:color w:val="auto"/>
              </w:rPr>
            </w:pPr>
            <w:r>
              <w:rPr>
                <w:rFonts w:ascii="Times New Roman" w:cs="Times New Roman" w:eastAsia="Times New Roman" w:hAnsi="Times New Roman"/>
                <w:sz w:val="16"/>
                <w:szCs w:val="16"/>
                <w:color w:val="auto"/>
                <w:w w:val="99"/>
              </w:rPr>
              <w:t>Orlando, Florida</w:t>
            </w: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44,600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Leased</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Service and repairs</w:t>
            </w:r>
          </w:p>
        </w:tc>
      </w:tr>
      <w:tr>
        <w:trPr>
          <w:trHeight w:val="178"/>
        </w:trPr>
        <w:tc>
          <w:tcPr>
            <w:tcW w:w="4060" w:type="dxa"/>
            <w:vAlign w:val="bottom"/>
            <w:tcBorders>
              <w:bottom w:val="single" w:sz="8" w:color="EAEAEA"/>
            </w:tcBorders>
            <w:shd w:val="clear" w:color="auto" w:fill="EAEAEA"/>
          </w:tcPr>
          <w:p>
            <w:pPr>
              <w:jc w:val="center"/>
              <w:ind w:right="820"/>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Paducah, Kentucky</w:t>
            </w:r>
          </w:p>
        </w:tc>
        <w:tc>
          <w:tcPr>
            <w:tcW w:w="1120" w:type="dxa"/>
            <w:vAlign w:val="bottom"/>
            <w:tcBorders>
              <w:bottom w:val="single" w:sz="8" w:color="EAEAEA"/>
            </w:tcBorders>
            <w:shd w:val="clear" w:color="auto" w:fill="EAEAEA"/>
          </w:tcPr>
          <w:p>
            <w:pPr>
              <w:jc w:val="right"/>
              <w:ind w:right="580"/>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73,700</w:t>
            </w:r>
          </w:p>
        </w:tc>
        <w:tc>
          <w:tcPr>
            <w:tcW w:w="218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Owned/Leased</w:t>
            </w:r>
          </w:p>
        </w:tc>
        <w:tc>
          <w:tcPr>
            <w:tcW w:w="344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98"/>
        </w:trPr>
        <w:tc>
          <w:tcPr>
            <w:tcW w:w="4060" w:type="dxa"/>
            <w:vAlign w:val="bottom"/>
          </w:tcPr>
          <w:p>
            <w:pPr>
              <w:jc w:val="center"/>
              <w:ind w:right="820"/>
              <w:spacing w:after="0"/>
              <w:rPr>
                <w:sz w:val="20"/>
                <w:szCs w:val="20"/>
                <w:color w:val="auto"/>
              </w:rPr>
            </w:pPr>
            <w:r>
              <w:rPr>
                <w:rFonts w:ascii="Times New Roman" w:cs="Times New Roman" w:eastAsia="Times New Roman" w:hAnsi="Times New Roman"/>
                <w:sz w:val="16"/>
                <w:szCs w:val="16"/>
                <w:color w:val="auto"/>
                <w:w w:val="99"/>
              </w:rPr>
              <w:t>Panama City, Florida</w:t>
            </w: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29,500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Owned</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Service and repairs</w:t>
            </w:r>
          </w:p>
        </w:tc>
      </w:tr>
      <w:tr>
        <w:trPr>
          <w:trHeight w:val="178"/>
        </w:trPr>
        <w:tc>
          <w:tcPr>
            <w:tcW w:w="4060" w:type="dxa"/>
            <w:vAlign w:val="bottom"/>
            <w:tcBorders>
              <w:bottom w:val="single" w:sz="8" w:color="EAEAEA"/>
            </w:tcBorders>
            <w:shd w:val="clear" w:color="auto" w:fill="EAEAEA"/>
          </w:tcPr>
          <w:p>
            <w:pPr>
              <w:jc w:val="center"/>
              <w:ind w:right="820"/>
              <w:spacing w:after="0" w:line="165" w:lineRule="exact"/>
              <w:rPr>
                <w:sz w:val="20"/>
                <w:szCs w:val="20"/>
                <w:color w:val="auto"/>
              </w:rPr>
            </w:pPr>
            <w:r>
              <w:rPr>
                <w:rFonts w:ascii="Times New Roman" w:cs="Times New Roman" w:eastAsia="Times New Roman" w:hAnsi="Times New Roman"/>
                <w:sz w:val="16"/>
                <w:szCs w:val="16"/>
                <w:color w:val="auto"/>
                <w:w w:val="98"/>
                <w:shd w:val="clear" w:color="auto" w:fill="EAEAEA"/>
              </w:rPr>
              <w:t>Pharr, Texas</w:t>
            </w:r>
          </w:p>
        </w:tc>
        <w:tc>
          <w:tcPr>
            <w:tcW w:w="1120" w:type="dxa"/>
            <w:vAlign w:val="bottom"/>
            <w:tcBorders>
              <w:bottom w:val="single" w:sz="8" w:color="EAEAEA"/>
            </w:tcBorders>
            <w:shd w:val="clear" w:color="auto" w:fill="EAEAEA"/>
          </w:tcPr>
          <w:p>
            <w:pPr>
              <w:jc w:val="right"/>
              <w:ind w:right="580"/>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EAEAEA"/>
              </w:rPr>
              <w:t>59,300</w:t>
            </w:r>
          </w:p>
        </w:tc>
        <w:tc>
          <w:tcPr>
            <w:tcW w:w="218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shd w:val="clear" w:color="auto" w:fill="EAEAEA"/>
              </w:rPr>
              <w:t>Leased</w:t>
            </w:r>
          </w:p>
        </w:tc>
        <w:tc>
          <w:tcPr>
            <w:tcW w:w="344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65"/>
        </w:trPr>
        <w:tc>
          <w:tcPr>
            <w:tcW w:w="4060" w:type="dxa"/>
            <w:vAlign w:val="bottom"/>
          </w:tcPr>
          <w:p>
            <w:pPr>
              <w:jc w:val="center"/>
              <w:ind w:right="840"/>
              <w:spacing w:after="0" w:line="165" w:lineRule="exact"/>
              <w:rPr>
                <w:sz w:val="20"/>
                <w:szCs w:val="20"/>
                <w:color w:val="auto"/>
              </w:rPr>
            </w:pPr>
            <w:r>
              <w:rPr>
                <w:rFonts w:ascii="Times New Roman" w:cs="Times New Roman" w:eastAsia="Times New Roman" w:hAnsi="Times New Roman"/>
                <w:sz w:val="16"/>
                <w:szCs w:val="16"/>
                <w:color w:val="auto"/>
                <w:highlight w:val="white"/>
                <w:w w:val="99"/>
              </w:rPr>
              <w:t>Piscataway, New Jersey</w:t>
            </w:r>
          </w:p>
        </w:tc>
        <w:tc>
          <w:tcPr>
            <w:tcW w:w="1120" w:type="dxa"/>
            <w:vAlign w:val="bottom"/>
          </w:tcPr>
          <w:p>
            <w:pPr>
              <w:jc w:val="right"/>
              <w:ind w:right="580"/>
              <w:spacing w:after="0" w:line="165" w:lineRule="exact"/>
              <w:rPr>
                <w:sz w:val="20"/>
                <w:szCs w:val="20"/>
                <w:color w:val="auto"/>
              </w:rPr>
            </w:pPr>
            <w:r>
              <w:rPr>
                <w:rFonts w:ascii="Times New Roman" w:cs="Times New Roman" w:eastAsia="Times New Roman" w:hAnsi="Times New Roman"/>
                <w:sz w:val="16"/>
                <w:szCs w:val="16"/>
                <w:color w:val="auto"/>
                <w:highlight w:val="white"/>
                <w:w w:val="99"/>
              </w:rPr>
              <w:t>39,900</w:t>
            </w:r>
          </w:p>
        </w:tc>
        <w:tc>
          <w:tcPr>
            <w:tcW w:w="21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highlight w:val="white"/>
                <w:w w:val="96"/>
              </w:rPr>
              <w:t>Leased</w:t>
            </w:r>
          </w:p>
        </w:tc>
        <w:tc>
          <w:tcPr>
            <w:tcW w:w="34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highlight w:val="white"/>
                <w:w w:val="97"/>
              </w:rPr>
              <w:t>Service and repairs</w:t>
            </w:r>
          </w:p>
        </w:tc>
      </w:tr>
      <w:tr>
        <w:trPr>
          <w:trHeight w:val="33"/>
        </w:trPr>
        <w:tc>
          <w:tcPr>
            <w:tcW w:w="4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178"/>
        </w:trPr>
        <w:tc>
          <w:tcPr>
            <w:tcW w:w="4060" w:type="dxa"/>
            <w:vAlign w:val="bottom"/>
            <w:tcBorders>
              <w:bottom w:val="single" w:sz="8" w:color="EAEAEA"/>
            </w:tcBorders>
            <w:shd w:val="clear" w:color="auto" w:fill="EAEAEA"/>
          </w:tcPr>
          <w:p>
            <w:pPr>
              <w:jc w:val="center"/>
              <w:ind w:right="820"/>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EAEAEA"/>
              </w:rPr>
              <w:t>Rocky Mount, North Carolina</w:t>
            </w:r>
          </w:p>
        </w:tc>
        <w:tc>
          <w:tcPr>
            <w:tcW w:w="1120" w:type="dxa"/>
            <w:vAlign w:val="bottom"/>
            <w:tcBorders>
              <w:bottom w:val="single" w:sz="8" w:color="EAEAEA"/>
            </w:tcBorders>
            <w:shd w:val="clear" w:color="auto" w:fill="EAEAEA"/>
          </w:tcPr>
          <w:p>
            <w:pPr>
              <w:jc w:val="right"/>
              <w:ind w:right="580"/>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EAEAEA"/>
              </w:rPr>
              <w:t>50,000</w:t>
            </w:r>
          </w:p>
        </w:tc>
        <w:tc>
          <w:tcPr>
            <w:tcW w:w="218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shd w:val="clear" w:color="auto" w:fill="EAEAEA"/>
              </w:rPr>
              <w:t>Leased</w:t>
            </w:r>
          </w:p>
        </w:tc>
        <w:tc>
          <w:tcPr>
            <w:tcW w:w="344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66"/>
        </w:trPr>
        <w:tc>
          <w:tcPr>
            <w:tcW w:w="4060" w:type="dxa"/>
            <w:vAlign w:val="bottom"/>
          </w:tcPr>
          <w:p>
            <w:pPr>
              <w:jc w:val="center"/>
              <w:ind w:right="820"/>
              <w:spacing w:after="0" w:line="166" w:lineRule="exact"/>
              <w:rPr>
                <w:sz w:val="20"/>
                <w:szCs w:val="20"/>
                <w:color w:val="auto"/>
              </w:rPr>
            </w:pPr>
            <w:r>
              <w:rPr>
                <w:rFonts w:ascii="Times New Roman" w:cs="Times New Roman" w:eastAsia="Times New Roman" w:hAnsi="Times New Roman"/>
                <w:sz w:val="16"/>
                <w:szCs w:val="16"/>
                <w:color w:val="auto"/>
                <w:highlight w:val="white"/>
                <w:w w:val="97"/>
              </w:rPr>
              <w:t>San Antonio, Texas</w:t>
            </w:r>
          </w:p>
        </w:tc>
        <w:tc>
          <w:tcPr>
            <w:tcW w:w="1120" w:type="dxa"/>
            <w:vAlign w:val="bottom"/>
          </w:tcPr>
          <w:p>
            <w:pPr>
              <w:jc w:val="right"/>
              <w:ind w:right="580"/>
              <w:spacing w:after="0" w:line="166" w:lineRule="exact"/>
              <w:rPr>
                <w:sz w:val="20"/>
                <w:szCs w:val="20"/>
                <w:color w:val="auto"/>
              </w:rPr>
            </w:pPr>
            <w:r>
              <w:rPr>
                <w:rFonts w:ascii="Times New Roman" w:cs="Times New Roman" w:eastAsia="Times New Roman" w:hAnsi="Times New Roman"/>
                <w:sz w:val="16"/>
                <w:szCs w:val="16"/>
                <w:color w:val="auto"/>
                <w:highlight w:val="white"/>
                <w:w w:val="99"/>
              </w:rPr>
              <w:t>42,100</w:t>
            </w:r>
          </w:p>
        </w:tc>
        <w:tc>
          <w:tcPr>
            <w:tcW w:w="218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highlight w:val="white"/>
                <w:w w:val="95"/>
              </w:rPr>
              <w:t>Owned</w:t>
            </w:r>
          </w:p>
        </w:tc>
        <w:tc>
          <w:tcPr>
            <w:tcW w:w="344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highlight w:val="white"/>
                <w:w w:val="97"/>
              </w:rPr>
              <w:t>Service and repairs</w:t>
            </w:r>
          </w:p>
        </w:tc>
      </w:tr>
      <w:tr>
        <w:trPr>
          <w:trHeight w:val="32"/>
        </w:trPr>
        <w:tc>
          <w:tcPr>
            <w:tcW w:w="4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178"/>
        </w:trPr>
        <w:tc>
          <w:tcPr>
            <w:tcW w:w="4060" w:type="dxa"/>
            <w:vAlign w:val="bottom"/>
            <w:tcBorders>
              <w:bottom w:val="single" w:sz="8" w:color="EAEAEA"/>
            </w:tcBorders>
            <w:shd w:val="clear" w:color="auto" w:fill="EAEAEA"/>
          </w:tcPr>
          <w:p>
            <w:pPr>
              <w:jc w:val="center"/>
              <w:ind w:right="820"/>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EAEAEA"/>
              </w:rPr>
              <w:t>Seattle, Washington</w:t>
            </w:r>
          </w:p>
        </w:tc>
        <w:tc>
          <w:tcPr>
            <w:tcW w:w="1120" w:type="dxa"/>
            <w:vAlign w:val="bottom"/>
            <w:tcBorders>
              <w:bottom w:val="single" w:sz="8" w:color="EAEAEA"/>
            </w:tcBorders>
            <w:shd w:val="clear" w:color="auto" w:fill="EAEAEA"/>
          </w:tcPr>
          <w:p>
            <w:pPr>
              <w:jc w:val="right"/>
              <w:ind w:right="580"/>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EAEAEA"/>
              </w:rPr>
              <w:t>19,500</w:t>
            </w:r>
          </w:p>
        </w:tc>
        <w:tc>
          <w:tcPr>
            <w:tcW w:w="218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shd w:val="clear" w:color="auto" w:fill="EAEAEA"/>
              </w:rPr>
              <w:t>Leased</w:t>
            </w:r>
          </w:p>
        </w:tc>
        <w:tc>
          <w:tcPr>
            <w:tcW w:w="344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98"/>
        </w:trPr>
        <w:tc>
          <w:tcPr>
            <w:tcW w:w="4060" w:type="dxa"/>
            <w:vAlign w:val="bottom"/>
          </w:tcPr>
          <w:p>
            <w:pPr>
              <w:jc w:val="center"/>
              <w:ind w:right="840"/>
              <w:spacing w:after="0"/>
              <w:rPr>
                <w:sz w:val="20"/>
                <w:szCs w:val="20"/>
                <w:color w:val="auto"/>
              </w:rPr>
            </w:pPr>
            <w:r>
              <w:rPr>
                <w:rFonts w:ascii="Times New Roman" w:cs="Times New Roman" w:eastAsia="Times New Roman" w:hAnsi="Times New Roman"/>
                <w:sz w:val="16"/>
                <w:szCs w:val="16"/>
                <w:color w:val="auto"/>
              </w:rPr>
              <w:t>Shreveport, Louisiana</w:t>
            </w: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50,000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Owned</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Service and repairs</w:t>
            </w:r>
          </w:p>
        </w:tc>
      </w:tr>
      <w:tr>
        <w:trPr>
          <w:trHeight w:val="178"/>
        </w:trPr>
        <w:tc>
          <w:tcPr>
            <w:tcW w:w="4060" w:type="dxa"/>
            <w:vAlign w:val="bottom"/>
            <w:tcBorders>
              <w:bottom w:val="single" w:sz="8" w:color="EAEAEA"/>
            </w:tcBorders>
            <w:shd w:val="clear" w:color="auto" w:fill="EAEAEA"/>
          </w:tcPr>
          <w:p>
            <w:pPr>
              <w:jc w:val="center"/>
              <w:ind w:right="840"/>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Tampa, Florida</w:t>
            </w:r>
          </w:p>
        </w:tc>
        <w:tc>
          <w:tcPr>
            <w:tcW w:w="1120" w:type="dxa"/>
            <w:vAlign w:val="bottom"/>
            <w:tcBorders>
              <w:bottom w:val="single" w:sz="8" w:color="EAEAEA"/>
            </w:tcBorders>
            <w:shd w:val="clear" w:color="auto" w:fill="EAEAEA"/>
          </w:tcPr>
          <w:p>
            <w:pPr>
              <w:jc w:val="right"/>
              <w:ind w:right="580"/>
              <w:spacing w:after="0" w:line="166" w:lineRule="exact"/>
              <w:rPr>
                <w:sz w:val="20"/>
                <w:szCs w:val="20"/>
                <w:color w:val="auto"/>
              </w:rPr>
            </w:pPr>
            <w:r>
              <w:rPr>
                <w:rFonts w:ascii="Times New Roman" w:cs="Times New Roman" w:eastAsia="Times New Roman" w:hAnsi="Times New Roman"/>
                <w:sz w:val="16"/>
                <w:szCs w:val="16"/>
                <w:color w:val="auto"/>
                <w:w w:val="99"/>
                <w:shd w:val="clear" w:color="auto" w:fill="EAEAEA"/>
              </w:rPr>
              <w:t>50,900</w:t>
            </w:r>
          </w:p>
        </w:tc>
        <w:tc>
          <w:tcPr>
            <w:tcW w:w="218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5"/>
                <w:shd w:val="clear" w:color="auto" w:fill="EAEAEA"/>
              </w:rPr>
              <w:t>Owned</w:t>
            </w:r>
          </w:p>
        </w:tc>
        <w:tc>
          <w:tcPr>
            <w:tcW w:w="3440" w:type="dxa"/>
            <w:vAlign w:val="bottom"/>
            <w:tcBorders>
              <w:bottom w:val="single" w:sz="8" w:color="EAEAEA"/>
            </w:tcBorders>
            <w:shd w:val="clear" w:color="auto" w:fill="EAEAEA"/>
          </w:tcPr>
          <w:p>
            <w:pPr>
              <w:jc w:val="center"/>
              <w:spacing w:after="0" w:line="166"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98"/>
        </w:trPr>
        <w:tc>
          <w:tcPr>
            <w:tcW w:w="4060" w:type="dxa"/>
            <w:vAlign w:val="bottom"/>
          </w:tcPr>
          <w:p>
            <w:pPr>
              <w:jc w:val="center"/>
              <w:ind w:right="820"/>
              <w:spacing w:after="0"/>
              <w:rPr>
                <w:sz w:val="20"/>
                <w:szCs w:val="20"/>
                <w:color w:val="auto"/>
              </w:rPr>
            </w:pPr>
            <w:r>
              <w:rPr>
                <w:rFonts w:ascii="Times New Roman" w:cs="Times New Roman" w:eastAsia="Times New Roman" w:hAnsi="Times New Roman"/>
                <w:sz w:val="16"/>
                <w:szCs w:val="16"/>
                <w:color w:val="auto"/>
              </w:rPr>
              <w:t>Temple, Texas</w:t>
            </w: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18,800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Leased</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Service and repairs</w:t>
            </w:r>
          </w:p>
        </w:tc>
      </w:tr>
      <w:tr>
        <w:trPr>
          <w:trHeight w:val="178"/>
        </w:trPr>
        <w:tc>
          <w:tcPr>
            <w:tcW w:w="4060" w:type="dxa"/>
            <w:vAlign w:val="bottom"/>
            <w:tcBorders>
              <w:bottom w:val="single" w:sz="8" w:color="EAEAEA"/>
            </w:tcBorders>
            <w:shd w:val="clear" w:color="auto" w:fill="EAEAEA"/>
          </w:tcPr>
          <w:p>
            <w:pPr>
              <w:jc w:val="center"/>
              <w:ind w:right="820"/>
              <w:spacing w:after="0" w:line="165" w:lineRule="exact"/>
              <w:rPr>
                <w:sz w:val="20"/>
                <w:szCs w:val="20"/>
                <w:color w:val="auto"/>
              </w:rPr>
            </w:pPr>
            <w:r>
              <w:rPr>
                <w:rFonts w:ascii="Times New Roman" w:cs="Times New Roman" w:eastAsia="Times New Roman" w:hAnsi="Times New Roman"/>
                <w:sz w:val="16"/>
                <w:szCs w:val="16"/>
                <w:color w:val="auto"/>
                <w:w w:val="98"/>
                <w:shd w:val="clear" w:color="auto" w:fill="EAEAEA"/>
              </w:rPr>
              <w:t>Thorofare, New Jersey</w:t>
            </w:r>
          </w:p>
        </w:tc>
        <w:tc>
          <w:tcPr>
            <w:tcW w:w="1120" w:type="dxa"/>
            <w:vAlign w:val="bottom"/>
            <w:tcBorders>
              <w:bottom w:val="single" w:sz="8" w:color="EAEAEA"/>
            </w:tcBorders>
            <w:shd w:val="clear" w:color="auto" w:fill="EAEAEA"/>
          </w:tcPr>
          <w:p>
            <w:pPr>
              <w:jc w:val="right"/>
              <w:ind w:right="580"/>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EAEAEA"/>
              </w:rPr>
              <w:t>24,200</w:t>
            </w:r>
          </w:p>
        </w:tc>
        <w:tc>
          <w:tcPr>
            <w:tcW w:w="218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shd w:val="clear" w:color="auto" w:fill="EAEAEA"/>
              </w:rPr>
              <w:t>Leased</w:t>
            </w:r>
          </w:p>
        </w:tc>
        <w:tc>
          <w:tcPr>
            <w:tcW w:w="344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98"/>
        </w:trPr>
        <w:tc>
          <w:tcPr>
            <w:tcW w:w="4060" w:type="dxa"/>
            <w:vAlign w:val="bottom"/>
          </w:tcPr>
          <w:p>
            <w:pPr>
              <w:jc w:val="center"/>
              <w:ind w:right="840"/>
              <w:spacing w:after="0"/>
              <w:rPr>
                <w:sz w:val="20"/>
                <w:szCs w:val="20"/>
                <w:color w:val="auto"/>
              </w:rPr>
            </w:pPr>
            <w:r>
              <w:rPr>
                <w:rFonts w:ascii="Times New Roman" w:cs="Times New Roman" w:eastAsia="Times New Roman" w:hAnsi="Times New Roman"/>
                <w:sz w:val="16"/>
                <w:szCs w:val="16"/>
                <w:color w:val="auto"/>
                <w:w w:val="99"/>
              </w:rPr>
              <w:t>Tulsa, Oklahoma</w:t>
            </w: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37,600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Leased</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Service and repairs</w:t>
            </w:r>
          </w:p>
        </w:tc>
      </w:tr>
      <w:tr>
        <w:trPr>
          <w:trHeight w:val="178"/>
        </w:trPr>
        <w:tc>
          <w:tcPr>
            <w:tcW w:w="4060" w:type="dxa"/>
            <w:vAlign w:val="bottom"/>
            <w:tcBorders>
              <w:bottom w:val="single" w:sz="8" w:color="EAEAEA"/>
            </w:tcBorders>
            <w:shd w:val="clear" w:color="auto" w:fill="EAEAEA"/>
          </w:tcPr>
          <w:p>
            <w:pPr>
              <w:jc w:val="center"/>
              <w:ind w:right="820"/>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EAEAEA"/>
              </w:rPr>
              <w:t>West Palm Beach, Florida</w:t>
            </w:r>
          </w:p>
        </w:tc>
        <w:tc>
          <w:tcPr>
            <w:tcW w:w="1120" w:type="dxa"/>
            <w:vAlign w:val="bottom"/>
            <w:tcBorders>
              <w:bottom w:val="single" w:sz="8" w:color="EAEAEA"/>
            </w:tcBorders>
            <w:shd w:val="clear" w:color="auto" w:fill="EAEAEA"/>
          </w:tcPr>
          <w:p>
            <w:pPr>
              <w:jc w:val="right"/>
              <w:ind w:right="620"/>
              <w:spacing w:after="0" w:line="165" w:lineRule="exact"/>
              <w:rPr>
                <w:sz w:val="20"/>
                <w:szCs w:val="20"/>
                <w:color w:val="auto"/>
              </w:rPr>
            </w:pPr>
            <w:r>
              <w:rPr>
                <w:rFonts w:ascii="Times New Roman" w:cs="Times New Roman" w:eastAsia="Times New Roman" w:hAnsi="Times New Roman"/>
                <w:sz w:val="16"/>
                <w:szCs w:val="16"/>
                <w:color w:val="auto"/>
                <w:shd w:val="clear" w:color="auto" w:fill="EAEAEA"/>
              </w:rPr>
              <w:t>7,000</w:t>
            </w:r>
          </w:p>
        </w:tc>
        <w:tc>
          <w:tcPr>
            <w:tcW w:w="218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shd w:val="clear" w:color="auto" w:fill="EAEAEA"/>
              </w:rPr>
              <w:t>Leased</w:t>
            </w:r>
          </w:p>
        </w:tc>
        <w:tc>
          <w:tcPr>
            <w:tcW w:w="3440" w:type="dxa"/>
            <w:vAlign w:val="bottom"/>
            <w:tcBorders>
              <w:bottom w:val="single" w:sz="8" w:color="EAEAEA"/>
            </w:tcBorders>
            <w:shd w:val="clear" w:color="auto" w:fill="EAEAEA"/>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shd w:val="clear" w:color="auto" w:fill="EAEAEA"/>
              </w:rPr>
              <w:t>Service and repairs</w:t>
            </w:r>
          </w:p>
        </w:tc>
      </w:tr>
      <w:tr>
        <w:trPr>
          <w:trHeight w:val="165"/>
        </w:trPr>
        <w:tc>
          <w:tcPr>
            <w:tcW w:w="4060" w:type="dxa"/>
            <w:vAlign w:val="bottom"/>
          </w:tcPr>
          <w:p>
            <w:pPr>
              <w:jc w:val="center"/>
              <w:ind w:right="820"/>
              <w:spacing w:after="0" w:line="165" w:lineRule="exact"/>
              <w:rPr>
                <w:sz w:val="20"/>
                <w:szCs w:val="20"/>
                <w:color w:val="auto"/>
              </w:rPr>
            </w:pPr>
            <w:r>
              <w:rPr>
                <w:rFonts w:ascii="Times New Roman" w:cs="Times New Roman" w:eastAsia="Times New Roman" w:hAnsi="Times New Roman"/>
                <w:sz w:val="16"/>
                <w:szCs w:val="16"/>
                <w:color w:val="auto"/>
                <w:highlight w:val="white"/>
                <w:w w:val="99"/>
              </w:rPr>
              <w:t>Wichita Falls, Texas</w:t>
            </w:r>
          </w:p>
        </w:tc>
        <w:tc>
          <w:tcPr>
            <w:tcW w:w="1120" w:type="dxa"/>
            <w:vAlign w:val="bottom"/>
          </w:tcPr>
          <w:p>
            <w:pPr>
              <w:jc w:val="right"/>
              <w:ind w:right="580"/>
              <w:spacing w:after="0" w:line="165" w:lineRule="exact"/>
              <w:rPr>
                <w:sz w:val="20"/>
                <w:szCs w:val="20"/>
                <w:color w:val="auto"/>
              </w:rPr>
            </w:pPr>
            <w:r>
              <w:rPr>
                <w:rFonts w:ascii="Times New Roman" w:cs="Times New Roman" w:eastAsia="Times New Roman" w:hAnsi="Times New Roman"/>
                <w:sz w:val="16"/>
                <w:szCs w:val="16"/>
                <w:color w:val="auto"/>
                <w:highlight w:val="white"/>
                <w:w w:val="99"/>
              </w:rPr>
              <w:t>11,500</w:t>
            </w:r>
          </w:p>
        </w:tc>
        <w:tc>
          <w:tcPr>
            <w:tcW w:w="21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highlight w:val="white"/>
                <w:w w:val="96"/>
              </w:rPr>
              <w:t>Leased</w:t>
            </w:r>
          </w:p>
        </w:tc>
        <w:tc>
          <w:tcPr>
            <w:tcW w:w="34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highlight w:val="white"/>
                <w:w w:val="97"/>
              </w:rPr>
              <w:t>Service and repairs</w:t>
            </w:r>
          </w:p>
        </w:tc>
      </w:tr>
      <w:tr>
        <w:trPr>
          <w:trHeight w:val="33"/>
        </w:trPr>
        <w:tc>
          <w:tcPr>
            <w:tcW w:w="4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40" w:type="dxa"/>
            <w:vAlign w:val="bottom"/>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87" w:gutter="0" w:footer="0" w:header="0"/>
          <w:type w:val="continuous"/>
        </w:sectPr>
      </w:pP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10800"/>
          </w:cols>
          <w:pgMar w:left="720" w:top="926" w:right="720" w:bottom="187"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See Note 14, Contingencies and Commitments to the Company’s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720" w:top="926"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720" w:top="926" w:right="1440" w:bottom="176" w:gutter="0" w:footer="0" w:header="0"/>
          <w:type w:val="continuous"/>
        </w:sectPr>
      </w:pPr>
    </w:p>
    <w:bookmarkStart w:id="44" w:name="page45"/>
    <w:bookmarkEnd w:id="44"/>
    <w:p>
      <w:pPr>
        <w:ind w:left="50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 Securities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Company’s common stock is traded on the New York Stock Exchange under the symbol KEX. Additional market</w:t>
      </w:r>
    </w:p>
    <w:p>
      <w:pPr>
        <w:spacing w:after="0" w:line="28" w:lineRule="exact"/>
        <w:rPr>
          <w:sz w:val="20"/>
          <w:szCs w:val="20"/>
          <w:color w:val="auto"/>
        </w:rPr>
      </w:pPr>
    </w:p>
    <w:p>
      <w:pPr>
        <w:jc w:val="both"/>
        <w:ind w:firstLine="6"/>
        <w:spacing w:after="0" w:line="248" w:lineRule="auto"/>
        <w:rPr>
          <w:sz w:val="20"/>
          <w:szCs w:val="20"/>
          <w:color w:val="auto"/>
        </w:rPr>
      </w:pPr>
      <w:r>
        <w:rPr>
          <w:rFonts w:ascii="Times New Roman" w:cs="Times New Roman" w:eastAsia="Times New Roman" w:hAnsi="Times New Roman"/>
          <w:sz w:val="20"/>
          <w:szCs w:val="20"/>
          <w:color w:val="auto"/>
        </w:rPr>
        <w:t>information for this item is incorporated by reference to the annual report to be provided to the Company’s stockholders pursuant to Rule 14a-3(b).</w:t>
      </w:r>
    </w:p>
    <w:p>
      <w:pPr>
        <w:spacing w:after="0" w:line="156" w:lineRule="exact"/>
        <w:rPr>
          <w:sz w:val="20"/>
          <w:szCs w:val="20"/>
          <w:color w:val="auto"/>
        </w:rPr>
      </w:pPr>
    </w:p>
    <w:p>
      <w:pPr>
        <w:jc w:val="both"/>
        <w:ind w:firstLine="362"/>
        <w:spacing w:after="0" w:line="249" w:lineRule="auto"/>
        <w:rPr>
          <w:sz w:val="20"/>
          <w:szCs w:val="20"/>
          <w:color w:val="auto"/>
        </w:rPr>
      </w:pPr>
      <w:r>
        <w:rPr>
          <w:rFonts w:ascii="Times New Roman" w:cs="Times New Roman" w:eastAsia="Times New Roman" w:hAnsi="Times New Roman"/>
          <w:sz w:val="20"/>
          <w:szCs w:val="20"/>
          <w:color w:val="auto"/>
        </w:rPr>
        <w:t>As of February 13, 2026, the Company had 53,646,000 outstanding shares held by approximately 295 stockholders of record; however, the Company believes the number of beneficial owners of common stock exceeds this number. Information for this item relating to equity compensation plans is incorporated by reference to the definitive proxy statement to be filed by the Company with the Commission pursuant to Regulation 14A within 120 days of the close of the fiscal year ended December 31, 2025. See also Not 8, Stock Award Plans to the Company’s financial statements for additional information.</w:t>
      </w:r>
    </w:p>
    <w:p>
      <w:pPr>
        <w:spacing w:after="0" w:line="15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is a summary of purchases of the Company's common stock during the 2025 fourth quarter.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6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5"/>
                <w:szCs w:val="5"/>
                <w:color w:val="auto"/>
              </w:rPr>
            </w:pPr>
          </w:p>
        </w:tc>
        <w:tc>
          <w:tcPr>
            <w:tcW w:w="1420" w:type="dxa"/>
            <w:vAlign w:val="bottom"/>
            <w:vMerge w:val="restart"/>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0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Under the Plans</w:t>
            </w:r>
          </w:p>
        </w:tc>
        <w:tc>
          <w:tcPr>
            <w:tcW w:w="0" w:type="dxa"/>
            <w:vAlign w:val="bottom"/>
          </w:tcPr>
          <w:p>
            <w:pPr>
              <w:spacing w:after="0"/>
              <w:rPr>
                <w:sz w:val="1"/>
                <w:szCs w:val="1"/>
                <w:color w:val="auto"/>
              </w:rPr>
            </w:pPr>
          </w:p>
        </w:tc>
      </w:tr>
      <w:tr>
        <w:trPr>
          <w:trHeight w:val="143"/>
        </w:trPr>
        <w:tc>
          <w:tcPr>
            <w:tcW w:w="37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AEAEA"/>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EAEAEA"/>
            </w:tcBorders>
          </w:tcPr>
          <w:p>
            <w:pPr>
              <w:spacing w:after="0"/>
              <w:rPr>
                <w:sz w:val="12"/>
                <w:szCs w:val="12"/>
                <w:color w:val="auto"/>
              </w:rPr>
            </w:pPr>
          </w:p>
        </w:tc>
        <w:tc>
          <w:tcPr>
            <w:tcW w:w="13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EAEAEA"/>
            </w:tcBorders>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rPr>
              <w:t>Publicly Announced Plans</w:t>
            </w:r>
          </w:p>
        </w:tc>
        <w:tc>
          <w:tcPr>
            <w:tcW w:w="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EAEAEA"/>
            </w:tcBorders>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780" w:type="dxa"/>
            <w:vAlign w:val="bottom"/>
            <w:tcBorders>
              <w:bottom w:val="single" w:sz="8" w:color="EAEAEA"/>
            </w:tcBorders>
            <w:shd w:val="clear" w:color="auto" w:fill="EAEAEA"/>
          </w:tcPr>
          <w:p>
            <w:pPr>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October 1 — October 31, 2025</w:t>
            </w:r>
          </w:p>
        </w:tc>
        <w:tc>
          <w:tcPr>
            <w:tcW w:w="100" w:type="dxa"/>
            <w:vAlign w:val="bottom"/>
            <w:tcBorders>
              <w:bottom w:val="single" w:sz="8" w:color="EAEAEA"/>
            </w:tcBorders>
            <w:shd w:val="clear" w:color="auto" w:fill="EAEAEA"/>
          </w:tcPr>
          <w:p>
            <w:pPr>
              <w:spacing w:after="0"/>
              <w:rPr>
                <w:sz w:val="18"/>
                <w:szCs w:val="18"/>
                <w:color w:val="auto"/>
              </w:rPr>
            </w:pPr>
          </w:p>
        </w:tc>
        <w:tc>
          <w:tcPr>
            <w:tcW w:w="1420" w:type="dxa"/>
            <w:vAlign w:val="bottom"/>
            <w:tcBorders>
              <w:bottom w:val="single" w:sz="8" w:color="EAEAEA"/>
            </w:tcBorders>
            <w:shd w:val="clear" w:color="auto" w:fill="EAEAEA"/>
          </w:tcPr>
          <w:p>
            <w:pPr>
              <w:jc w:val="right"/>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428,955</w:t>
            </w:r>
          </w:p>
        </w:tc>
        <w:tc>
          <w:tcPr>
            <w:tcW w:w="20" w:type="dxa"/>
            <w:vAlign w:val="bottom"/>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EAEAEA"/>
            </w:tcBorders>
            <w:shd w:val="clear" w:color="auto" w:fill="EAEAEA"/>
          </w:tcPr>
          <w:p>
            <w:pPr>
              <w:jc w:val="right"/>
              <w:spacing w:after="0" w:line="207" w:lineRule="exact"/>
              <w:rPr>
                <w:sz w:val="20"/>
                <w:szCs w:val="20"/>
                <w:color w:val="auto"/>
              </w:rPr>
            </w:pPr>
            <w:r>
              <w:rPr>
                <w:rFonts w:ascii="Times New Roman" w:cs="Times New Roman" w:eastAsia="Times New Roman" w:hAnsi="Times New Roman"/>
                <w:sz w:val="20"/>
                <w:szCs w:val="20"/>
                <w:color w:val="auto"/>
              </w:rPr>
              <w:t>84.13</w:t>
            </w:r>
          </w:p>
        </w:tc>
        <w:tc>
          <w:tcPr>
            <w:tcW w:w="10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180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96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November 1 — November 30, 2025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319,437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EAEAEA"/>
            </w:tcBorders>
            <w:shd w:val="clear" w:color="auto" w:fill="EAEAEA"/>
          </w:tcPr>
          <w:p>
            <w:pPr>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December 1 — December 31, 2025</w:t>
            </w:r>
          </w:p>
        </w:tc>
        <w:tc>
          <w:tcPr>
            <w:tcW w:w="100" w:type="dxa"/>
            <w:vAlign w:val="bottom"/>
            <w:tcBorders>
              <w:bottom w:val="single" w:sz="8" w:color="EAEAEA"/>
            </w:tcBorders>
            <w:shd w:val="clear" w:color="auto" w:fill="EAEAEA"/>
          </w:tcPr>
          <w:p>
            <w:pPr>
              <w:spacing w:after="0"/>
              <w:rPr>
                <w:sz w:val="21"/>
                <w:szCs w:val="21"/>
                <w:color w:val="auto"/>
              </w:rPr>
            </w:pPr>
          </w:p>
        </w:tc>
        <w:tc>
          <w:tcPr>
            <w:tcW w:w="1420" w:type="dxa"/>
            <w:vAlign w:val="bottom"/>
            <w:tcBorders>
              <w:bottom w:val="single" w:sz="8" w:color="EAEAEA"/>
            </w:tcBorders>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282,337</w:t>
            </w:r>
          </w:p>
        </w:tc>
        <w:tc>
          <w:tcPr>
            <w:tcW w:w="2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EAEAEA"/>
            </w:tcBorders>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rPr>
              <w:t>110.89</w:t>
            </w:r>
          </w:p>
        </w:tc>
        <w:tc>
          <w:tcPr>
            <w:tcW w:w="10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180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shd w:val="clear" w:color="auto" w:fill="EAEAEA"/>
          </w:tcPr>
          <w:p>
            <w:pPr>
              <w:spacing w:after="0"/>
              <w:rPr>
                <w:sz w:val="21"/>
                <w:szCs w:val="21"/>
                <w:color w:val="auto"/>
              </w:rPr>
            </w:pPr>
          </w:p>
        </w:tc>
        <w:tc>
          <w:tcPr>
            <w:tcW w:w="196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1,030,729</w:t>
            </w:r>
          </w:p>
        </w:tc>
        <w:tc>
          <w:tcPr>
            <w:tcW w:w="100" w:type="dxa"/>
            <w:vAlign w:val="bottom"/>
            <w:gridSpan w:val="2"/>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98.53</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-666750</wp:posOffset>
            </wp:positionV>
            <wp:extent cx="12693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9">
                      <a:extLst>
                        <a:ext uri="{28A0092B-C50C-407E-A947-70E740481C1C}"/>
                      </a:extLst>
                    </a:blip>
                    <a:srcRect/>
                    <a:stretch>
                      <a:fillRect/>
                    </a:stretch>
                  </pic:blipFill>
                  <pic:spPr bwMode="auto">
                    <a:xfrm>
                      <a:off x="0" y="0"/>
                      <a:ext cx="1269365" cy="25400"/>
                    </a:xfrm>
                    <a:prstGeom prst="rect">
                      <a:avLst/>
                    </a:prstGeom>
                    <a:noFill/>
                  </pic:spPr>
                </pic:pic>
              </a:graphicData>
            </a:graphic>
          </wp:anchor>
        </w:drawing>
      </w:r>
    </w:p>
    <w:p>
      <w:pPr>
        <w:spacing w:after="0" w:line="16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Purchases of the Company's common stock during the 2025 fourth quarter were made in the open market pursuant to a discretionary authorization by the Board of Directors. For more information about stock purchases in the 2025 fourth quarter and other information responsive to this Item, see “Treasury Stock Purchases” in Financial Condition, Capital Resources and Liquidity included in Part II, Item 7.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i w:val="1"/>
          <w:iCs w:val="1"/>
          <w:color w:val="auto"/>
        </w:rPr>
        <w:t>Reserved</w:t>
      </w:r>
    </w:p>
    <w:p>
      <w:pPr>
        <w:sectPr>
          <w:pgSz w:w="12240" w:h="15840" w:orient="portrait"/>
          <w:cols w:equalWidth="0" w:num="1">
            <w:col w:w="10800"/>
          </w:cols>
          <w:pgMar w:left="720" w:top="1156" w:right="720"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2240" w:h="15840" w:orient="portrait"/>
          <w:cols w:equalWidth="0" w:num="1">
            <w:col w:w="10800"/>
          </w:cols>
          <w:pgMar w:left="720" w:top="1156" w:right="720" w:bottom="199"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20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Statements contained in this Form 10-K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pandemics, marine accidents, lock delays or closures, fuel costs, interest rates, construction of new equipment by competitors, government and environmental laws and regulations, and the timing, magnitude and</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16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purposes of Management’s Discussion, all net earnings per share attributable to Kirby common stockholders are “diluted earnings per share.” The weighted average number of common shares outstanding applicable to diluted earnings per share for 2025, 2024, and 2023 were 56,045,000, 58,355,000, and 59,857,000, respectively. Refer to the Company’s Annual Report on Form 10-K for the year ended December 31, 2024 for management's discussion and analysis of financial condition and results of operations for 2024 compared to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KDS, the Company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key operating results of the Company (in thousands, except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26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EAEAEA"/>
            </w:tcBorders>
          </w:tcPr>
          <w:p>
            <w:pPr>
              <w:spacing w:after="0"/>
              <w:rPr>
                <w:sz w:val="16"/>
                <w:szCs w:val="16"/>
                <w:color w:val="auto"/>
              </w:rPr>
            </w:pPr>
          </w:p>
        </w:tc>
      </w:tr>
      <w:tr>
        <w:trPr>
          <w:trHeight w:val="219"/>
        </w:trPr>
        <w:tc>
          <w:tcPr>
            <w:tcW w:w="6260" w:type="dxa"/>
            <w:vAlign w:val="bottom"/>
            <w:tcBorders>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Total revenues</w:t>
            </w:r>
          </w:p>
        </w:tc>
        <w:tc>
          <w:tcPr>
            <w:tcW w:w="1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tcBorders>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3,364,050</w:t>
            </w:r>
          </w:p>
        </w:tc>
        <w:tc>
          <w:tcPr>
            <w:tcW w:w="2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tcBorders>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3,265,876</w:t>
            </w:r>
          </w:p>
        </w:tc>
        <w:tc>
          <w:tcPr>
            <w:tcW w:w="26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40" w:type="dxa"/>
            <w:vAlign w:val="bottom"/>
            <w:tcBorders>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3,091,640</w:t>
            </w:r>
          </w:p>
        </w:tc>
        <w:tc>
          <w:tcPr>
            <w:tcW w:w="60" w:type="dxa"/>
            <w:vAlign w:val="bottom"/>
            <w:tcBorders>
              <w:bottom w:val="single" w:sz="8" w:color="EAEAEA"/>
            </w:tcBorders>
            <w:shd w:val="clear" w:color="auto" w:fill="EAEAEA"/>
          </w:tcPr>
          <w:p>
            <w:pPr>
              <w:spacing w:after="0"/>
              <w:rPr>
                <w:sz w:val="19"/>
                <w:szCs w:val="19"/>
                <w:color w:val="auto"/>
              </w:rPr>
            </w:pPr>
          </w:p>
        </w:tc>
      </w:tr>
      <w:tr>
        <w:trPr>
          <w:trHeight w:val="24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Net earnings attributable to Kirby</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354,569</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286,707</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222,935</w:t>
            </w:r>
          </w:p>
        </w:tc>
        <w:tc>
          <w:tcPr>
            <w:tcW w:w="60" w:type="dxa"/>
            <w:vAlign w:val="bottom"/>
          </w:tcPr>
          <w:p>
            <w:pPr>
              <w:spacing w:after="0"/>
              <w:rPr>
                <w:sz w:val="21"/>
                <w:szCs w:val="21"/>
                <w:color w:val="auto"/>
              </w:rPr>
            </w:pPr>
          </w:p>
        </w:tc>
      </w:tr>
      <w:tr>
        <w:trPr>
          <w:trHeight w:val="224"/>
        </w:trPr>
        <w:tc>
          <w:tcPr>
            <w:tcW w:w="6260" w:type="dxa"/>
            <w:vAlign w:val="bottom"/>
            <w:tcBorders>
              <w:bottom w:val="single" w:sz="8" w:color="EAEAEA"/>
            </w:tcBorders>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Net earnings per share attributable to Kirby common stockholders – diluted</w:t>
            </w:r>
          </w:p>
        </w:tc>
        <w:tc>
          <w:tcPr>
            <w:tcW w:w="10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88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85"/>
                <w:shd w:val="clear" w:color="auto" w:fill="EAEAEA"/>
              </w:rPr>
              <w:t>6.33</w:t>
            </w:r>
          </w:p>
        </w:tc>
        <w:tc>
          <w:tcPr>
            <w:tcW w:w="2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86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85"/>
                <w:shd w:val="clear" w:color="auto" w:fill="EAEAEA"/>
              </w:rPr>
              <w:t>4.91</w:t>
            </w:r>
          </w:p>
        </w:tc>
        <w:tc>
          <w:tcPr>
            <w:tcW w:w="26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8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1"/>
                <w:shd w:val="clear" w:color="auto" w:fill="EAEAEA"/>
              </w:rPr>
              <w:t>3.72</w:t>
            </w:r>
          </w:p>
        </w:tc>
        <w:tc>
          <w:tcPr>
            <w:tcW w:w="60" w:type="dxa"/>
            <w:vAlign w:val="bottom"/>
            <w:tcBorders>
              <w:bottom w:val="single" w:sz="8" w:color="EAEAEA"/>
            </w:tcBorders>
            <w:shd w:val="clear" w:color="auto" w:fill="EAEAEA"/>
          </w:tcPr>
          <w:p>
            <w:pPr>
              <w:spacing w:after="0"/>
              <w:rPr>
                <w:sz w:val="19"/>
                <w:szCs w:val="19"/>
                <w:color w:val="auto"/>
              </w:rPr>
            </w:pPr>
          </w:p>
        </w:tc>
      </w:tr>
      <w:tr>
        <w:trPr>
          <w:trHeight w:val="24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670,204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756,494</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540,228</w:t>
            </w:r>
          </w:p>
        </w:tc>
        <w:tc>
          <w:tcPr>
            <w:tcW w:w="60" w:type="dxa"/>
            <w:vAlign w:val="bottom"/>
          </w:tcPr>
          <w:p>
            <w:pPr>
              <w:spacing w:after="0"/>
              <w:rPr>
                <w:sz w:val="21"/>
                <w:szCs w:val="21"/>
                <w:color w:val="auto"/>
              </w:rPr>
            </w:pPr>
          </w:p>
        </w:tc>
      </w:tr>
      <w:tr>
        <w:trPr>
          <w:trHeight w:val="216"/>
        </w:trPr>
        <w:tc>
          <w:tcPr>
            <w:tcW w:w="6260" w:type="dxa"/>
            <w:vAlign w:val="bottom"/>
            <w:shd w:val="clear" w:color="auto" w:fill="EAEAEA"/>
          </w:tcPr>
          <w:p>
            <w:pPr>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Capital expenditures</w:t>
            </w:r>
          </w:p>
        </w:tc>
        <w:tc>
          <w:tcPr>
            <w:tcW w:w="100" w:type="dxa"/>
            <w:vAlign w:val="bottom"/>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gridSpan w:val="2"/>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264,473</w:t>
            </w:r>
          </w:p>
        </w:tc>
        <w:tc>
          <w:tcPr>
            <w:tcW w:w="260" w:type="dxa"/>
            <w:vAlign w:val="bottom"/>
            <w:shd w:val="clear" w:color="auto" w:fill="EAEAEA"/>
          </w:tcPr>
          <w:p>
            <w:pPr>
              <w:spacing w:after="0"/>
              <w:rPr>
                <w:sz w:val="18"/>
                <w:szCs w:val="18"/>
                <w:color w:val="auto"/>
              </w:rPr>
            </w:pPr>
          </w:p>
        </w:tc>
        <w:tc>
          <w:tcPr>
            <w:tcW w:w="100" w:type="dxa"/>
            <w:vAlign w:val="bottom"/>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gridSpan w:val="2"/>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342,660</w:t>
            </w:r>
          </w:p>
        </w:tc>
        <w:tc>
          <w:tcPr>
            <w:tcW w:w="260" w:type="dxa"/>
            <w:vAlign w:val="bottom"/>
            <w:shd w:val="clear" w:color="auto" w:fill="EAEAEA"/>
          </w:tcPr>
          <w:p>
            <w:pPr>
              <w:spacing w:after="0"/>
              <w:rPr>
                <w:sz w:val="18"/>
                <w:szCs w:val="18"/>
                <w:color w:val="auto"/>
              </w:rPr>
            </w:pPr>
          </w:p>
        </w:tc>
        <w:tc>
          <w:tcPr>
            <w:tcW w:w="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40" w:type="dxa"/>
            <w:vAlign w:val="bottom"/>
            <w:gridSpan w:val="2"/>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401,730</w:t>
            </w:r>
          </w:p>
        </w:tc>
        <w:tc>
          <w:tcPr>
            <w:tcW w:w="60" w:type="dxa"/>
            <w:vAlign w:val="bottom"/>
            <w:shd w:val="clear" w:color="auto" w:fill="EAEAEA"/>
          </w:tcPr>
          <w:p>
            <w:pPr>
              <w:spacing w:after="0"/>
              <w:rPr>
                <w:sz w:val="18"/>
                <w:szCs w:val="18"/>
                <w:color w:val="auto"/>
              </w:rPr>
            </w:pPr>
          </w:p>
        </w:tc>
      </w:tr>
      <w:tr>
        <w:trPr>
          <w:trHeight w:val="28"/>
        </w:trPr>
        <w:tc>
          <w:tcPr>
            <w:tcW w:w="6260" w:type="dxa"/>
            <w:vAlign w:val="bottom"/>
            <w:shd w:val="clear" w:color="auto" w:fill="EAEAEA"/>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880" w:type="dxa"/>
            <w:vAlign w:val="bottom"/>
            <w:shd w:val="clear" w:color="auto" w:fill="EAEAEA"/>
          </w:tcPr>
          <w:p>
            <w:pPr>
              <w:spacing w:after="0"/>
              <w:rPr>
                <w:sz w:val="2"/>
                <w:szCs w:val="2"/>
                <w:color w:val="auto"/>
              </w:rPr>
            </w:pPr>
          </w:p>
        </w:tc>
        <w:tc>
          <w:tcPr>
            <w:tcW w:w="340" w:type="dxa"/>
            <w:vAlign w:val="bottom"/>
            <w:shd w:val="clear" w:color="auto" w:fill="EAEAEA"/>
          </w:tcPr>
          <w:p>
            <w:pPr>
              <w:spacing w:after="0"/>
              <w:rPr>
                <w:sz w:val="2"/>
                <w:szCs w:val="2"/>
                <w:color w:val="auto"/>
              </w:rPr>
            </w:pPr>
          </w:p>
        </w:tc>
        <w:tc>
          <w:tcPr>
            <w:tcW w:w="260" w:type="dxa"/>
            <w:vAlign w:val="bottom"/>
            <w:shd w:val="clear" w:color="auto" w:fill="EAEAEA"/>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860" w:type="dxa"/>
            <w:vAlign w:val="bottom"/>
            <w:shd w:val="clear" w:color="auto" w:fill="EAEAEA"/>
          </w:tcPr>
          <w:p>
            <w:pPr>
              <w:spacing w:after="0"/>
              <w:rPr>
                <w:sz w:val="2"/>
                <w:szCs w:val="2"/>
                <w:color w:val="auto"/>
              </w:rPr>
            </w:pPr>
          </w:p>
        </w:tc>
        <w:tc>
          <w:tcPr>
            <w:tcW w:w="360" w:type="dxa"/>
            <w:vAlign w:val="bottom"/>
            <w:shd w:val="clear" w:color="auto" w:fill="EAEAEA"/>
          </w:tcPr>
          <w:p>
            <w:pPr>
              <w:spacing w:after="0"/>
              <w:rPr>
                <w:sz w:val="2"/>
                <w:szCs w:val="2"/>
                <w:color w:val="auto"/>
              </w:rPr>
            </w:pPr>
          </w:p>
        </w:tc>
        <w:tc>
          <w:tcPr>
            <w:tcW w:w="260" w:type="dxa"/>
            <w:vAlign w:val="bottom"/>
            <w:shd w:val="clear" w:color="auto" w:fill="EAEAEA"/>
          </w:tcPr>
          <w:p>
            <w:pPr>
              <w:spacing w:after="0"/>
              <w:rPr>
                <w:sz w:val="2"/>
                <w:szCs w:val="2"/>
                <w:color w:val="auto"/>
              </w:rPr>
            </w:pPr>
          </w:p>
        </w:tc>
        <w:tc>
          <w:tcPr>
            <w:tcW w:w="80" w:type="dxa"/>
            <w:vAlign w:val="bottom"/>
            <w:shd w:val="clear" w:color="auto" w:fill="EAEAEA"/>
          </w:tcPr>
          <w:p>
            <w:pPr>
              <w:spacing w:after="0"/>
              <w:rPr>
                <w:sz w:val="2"/>
                <w:szCs w:val="2"/>
                <w:color w:val="auto"/>
              </w:rPr>
            </w:pPr>
          </w:p>
        </w:tc>
        <w:tc>
          <w:tcPr>
            <w:tcW w:w="880" w:type="dxa"/>
            <w:vAlign w:val="bottom"/>
            <w:shd w:val="clear" w:color="auto" w:fill="EAEAEA"/>
          </w:tcPr>
          <w:p>
            <w:pPr>
              <w:spacing w:after="0"/>
              <w:rPr>
                <w:sz w:val="2"/>
                <w:szCs w:val="2"/>
                <w:color w:val="auto"/>
              </w:rPr>
            </w:pPr>
          </w:p>
        </w:tc>
        <w:tc>
          <w:tcPr>
            <w:tcW w:w="360" w:type="dxa"/>
            <w:vAlign w:val="bottom"/>
            <w:shd w:val="clear" w:color="auto" w:fill="EAEAEA"/>
          </w:tcPr>
          <w:p>
            <w:pPr>
              <w:spacing w:after="0"/>
              <w:rPr>
                <w:sz w:val="2"/>
                <w:szCs w:val="2"/>
                <w:color w:val="auto"/>
              </w:rPr>
            </w:pPr>
          </w:p>
        </w:tc>
        <w:tc>
          <w:tcPr>
            <w:tcW w:w="60" w:type="dxa"/>
            <w:vAlign w:val="bottom"/>
            <w:shd w:val="clear" w:color="auto" w:fill="EAEAE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-922020</wp:posOffset>
            </wp:positionV>
            <wp:extent cx="8629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0">
                      <a:extLst>
                        <a:ext uri="{28A0092B-C50C-407E-A947-70E740481C1C}"/>
                      </a:extLst>
                    </a:blip>
                    <a:srcRect/>
                    <a:stretch>
                      <a:fillRect/>
                    </a:stretch>
                  </pic:blipFill>
                  <pic:spPr bwMode="auto">
                    <a:xfrm>
                      <a:off x="0" y="0"/>
                      <a:ext cx="862965" cy="2540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-786765</wp:posOffset>
            </wp:positionV>
            <wp:extent cx="186245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1">
                      <a:extLst>
                        <a:ext uri="{28A0092B-C50C-407E-A947-70E740481C1C}"/>
                      </a:extLst>
                    </a:blip>
                    <a:srcRect/>
                    <a:stretch>
                      <a:fillRect/>
                    </a:stretch>
                  </pic:blipFill>
                  <pic:spPr bwMode="auto">
                    <a:xfrm>
                      <a:off x="0" y="0"/>
                      <a:ext cx="1862455" cy="25400"/>
                    </a:xfrm>
                    <a:prstGeom prst="rect">
                      <a:avLst/>
                    </a:prstGeom>
                    <a:noFill/>
                  </pic:spPr>
                </pic:pic>
              </a:graphicData>
            </a:graphic>
          </wp:anchor>
        </w:drawing>
      </w:r>
    </w:p>
    <w:p>
      <w:pPr>
        <w:spacing w:after="0" w:line="15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2024 fourth quarter included a $56.3 million before taxes, $43.0 million after taxes, or $0.74 per share non-cash impairment charge in the KDS segment primarily associated with conventional diesel fracturing equipment inventory. Based on market conditi n at that time and its view on the industry outlook, including decreased customer demand for conventional diesel fracturing equipment driven by an industry-wide shift to electric fracturing equipment, the Company determined that certain inventory had limited commercial opportunity, and the cost of these inventories exceeded its net realizable value. The Company’s 2024 fourth quarter results also included a $10.9 million, or $0.19 per share one-time deferred tax credit related to a change in Louisiana tax law. Tax reform legislation in Louisiana was signed in December 2024 that included lowering the corporate income tax rate from 7.5% to 5.5% effective January 1, 2025. As a result of the new legislation, the Company recognized a one-time deferred tax credit of $10.9 million</w:t>
      </w:r>
    </w:p>
    <w:p>
      <w:pPr>
        <w:spacing w:after="0" w:line="7" w:lineRule="exact"/>
        <w:rPr>
          <w:sz w:val="20"/>
          <w:szCs w:val="20"/>
          <w:color w:val="auto"/>
        </w:rPr>
      </w:pPr>
    </w:p>
    <w:p>
      <w:pPr>
        <w:jc w:val="both"/>
        <w:ind w:firstLine="4"/>
        <w:spacing w:after="0"/>
        <w:rPr>
          <w:sz w:val="20"/>
          <w:szCs w:val="20"/>
          <w:color w:val="auto"/>
        </w:rPr>
      </w:pPr>
      <w:r>
        <w:rPr>
          <w:rFonts w:ascii="Times New Roman" w:cs="Times New Roman" w:eastAsia="Times New Roman" w:hAnsi="Times New Roman"/>
          <w:sz w:val="20"/>
          <w:szCs w:val="20"/>
          <w:color w:val="auto"/>
        </w:rPr>
        <w:t>in the 2024 fourth quarter due to the remeasurement of the Company’s Louisiana and U.S. deferred tax assets and liabilities based on the new effective Louisiana state income tax rate.</w:t>
      </w:r>
    </w:p>
    <w:p>
      <w:pPr>
        <w:spacing w:after="0" w:line="162" w:lineRule="exact"/>
        <w:rPr>
          <w:sz w:val="20"/>
          <w:szCs w:val="20"/>
          <w:color w:val="auto"/>
        </w:rPr>
      </w:pPr>
    </w:p>
    <w:p>
      <w:pPr>
        <w:jc w:val="both"/>
        <w:ind w:firstLine="354"/>
        <w:spacing w:after="0" w:line="259" w:lineRule="auto"/>
        <w:rPr>
          <w:sz w:val="20"/>
          <w:szCs w:val="20"/>
          <w:color w:val="auto"/>
        </w:rPr>
      </w:pPr>
      <w:r>
        <w:rPr>
          <w:rFonts w:ascii="Times New Roman" w:cs="Times New Roman" w:eastAsia="Times New Roman" w:hAnsi="Times New Roman"/>
          <w:sz w:val="20"/>
          <w:szCs w:val="20"/>
          <w:color w:val="auto"/>
        </w:rPr>
        <w:t>The 2023 first quarter included $3.0 million before taxes, $2.4 million after taxes, or $0.04 per share of costs related to the strategic review and shareholder engagement and $2.7 million before taxes, $2.2 million after taxes, or $0.04 per share of other income associated with the interest on a refund from the Internal Revenue Service (“IRS”).</w:t>
      </w:r>
    </w:p>
    <w:p>
      <w:pPr>
        <w:sectPr>
          <w:pgSz w:w="12240" w:h="15840" w:orient="portrait"/>
          <w:cols w:equalWidth="0" w:num="1">
            <w:col w:w="10800"/>
          </w:cols>
          <w:pgMar w:left="720" w:top="926" w:right="720" w:bottom="176"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926" w:right="720" w:bottom="176" w:gutter="0" w:footer="0" w:header="0"/>
          <w:type w:val="continuous"/>
        </w:sectPr>
      </w:pPr>
    </w:p>
    <w:bookmarkStart w:id="46" w:name="page47"/>
    <w:bookmarkEnd w:id="46"/>
    <w:p>
      <w:pPr>
        <w:jc w:val="both"/>
        <w:ind w:firstLine="367"/>
        <w:spacing w:after="0" w:line="259" w:lineRule="auto"/>
        <w:rPr>
          <w:sz w:val="20"/>
          <w:szCs w:val="20"/>
          <w:color w:val="auto"/>
        </w:rPr>
      </w:pPr>
      <w:r>
        <w:rPr>
          <w:rFonts w:ascii="Times New Roman" w:cs="Times New Roman" w:eastAsia="Times New Roman" w:hAnsi="Times New Roman"/>
          <w:sz w:val="20"/>
          <w:szCs w:val="20"/>
          <w:color w:val="auto"/>
        </w:rPr>
        <w:t>Cash provided by operating activities in 2025 decreased compared to 2024 primarily due to unfavorable working capital changes, partially offset by higher business activity levels. During 2025, capital expenditures of $264.5 million included $229.1 million in KMT and $35.4 million in KDS and corporate, more fully described under cash flow and capital expenditures below.</w:t>
      </w:r>
    </w:p>
    <w:p>
      <w:pPr>
        <w:spacing w:after="0" w:line="146"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projects net cash flow from operations in 2026 of between $575 million and $675 million and expects capital expenditures to range between $220 million and $260 million.</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Company’s debt-to-capitalization ratio increased to 21.4% at December 31, 2025 from 20.7% at December 31, 2024,</w:t>
      </w:r>
    </w:p>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primarily due to an increase in debt outstanding of $44.3 million, partially offset by an increase in total equity, primarily f</w:t>
      </w:r>
      <w:r>
        <w:rPr>
          <w:sz w:val="1"/>
          <w:szCs w:val="1"/>
          <w:color w:val="auto"/>
        </w:rPr>
        <w:drawing>
          <wp:inline distT="0" distB="0" distL="0" distR="0">
            <wp:extent cx="13335" cy="5778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2">
                      <a:extLst>
                        <a:ext uri="{28A0092B-C50C-407E-A947-70E740481C1C}"/>
                      </a:extLst>
                    </a:blip>
                    <a:srcRect/>
                    <a:stretch>
                      <a:fillRect/>
                    </a:stretch>
                  </pic:blipFill>
                  <pic:spPr bwMode="auto">
                    <a:xfrm>
                      <a:off x="0" y="0"/>
                      <a:ext cx="13335" cy="5778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om net earnings attributable to Kirby of $354.6 million during 2025 partially offset by treasury stock purchases of $ 354.2 million. Th Company’s debt outstanding as of December 31, 2025 and December 31, 2024 is detailed in Long-Term Financing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Marine Transportation</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Company’s marine transportation fleet: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0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8620" w:type="dxa"/>
            <w:vAlign w:val="bottom"/>
            <w:gridSpan w:val="3"/>
            <w:vMerge w:val="restart"/>
          </w:tcPr>
          <w:p>
            <w:pPr>
              <w:ind w:left="82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vMerge w:val="continue"/>
          </w:tcPr>
          <w:p>
            <w:pPr>
              <w:spacing w:after="0"/>
              <w:rPr>
                <w:sz w:val="11"/>
                <w:szCs w:val="11"/>
                <w:color w:val="auto"/>
              </w:rPr>
            </w:pPr>
          </w:p>
        </w:tc>
        <w:tc>
          <w:tcPr>
            <w:tcW w:w="920" w:type="dxa"/>
            <w:vAlign w:val="bottom"/>
            <w:gridSpan w:val="4"/>
          </w:tcPr>
          <w:p>
            <w:pP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100" w:type="dxa"/>
            <w:vAlign w:val="bottom"/>
            <w:vMerge w:val="continue"/>
          </w:tcPr>
          <w:p>
            <w:pPr>
              <w:spacing w:after="0"/>
              <w:rPr>
                <w:sz w:val="11"/>
                <w:szCs w:val="11"/>
                <w:color w:val="auto"/>
              </w:rPr>
            </w:pPr>
          </w:p>
        </w:tc>
        <w:tc>
          <w:tcPr>
            <w:tcW w:w="58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Borders>
              <w:top w:val="single" w:sz="8" w:color="EAEAEA"/>
            </w:tcBorders>
            <w:gridSpan w:val="2"/>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Inland tank barges:</w:t>
            </w:r>
          </w:p>
        </w:tc>
        <w:tc>
          <w:tcPr>
            <w:tcW w:w="860" w:type="dxa"/>
            <w:vAlign w:val="bottom"/>
            <w:tcBorders>
              <w:top w:val="single" w:sz="8" w:color="auto"/>
            </w:tcBorders>
            <w:shd w:val="clear" w:color="auto" w:fill="EAEAEA"/>
          </w:tcPr>
          <w:p>
            <w:pPr>
              <w:spacing w:after="0"/>
              <w:rPr>
                <w:sz w:val="19"/>
                <w:szCs w:val="19"/>
                <w:color w:val="auto"/>
              </w:rPr>
            </w:pPr>
          </w:p>
        </w:tc>
        <w:tc>
          <w:tcPr>
            <w:tcW w:w="160" w:type="dxa"/>
            <w:vAlign w:val="bottom"/>
            <w:tcBorders>
              <w:top w:val="single" w:sz="8" w:color="auto"/>
            </w:tcBorders>
            <w:shd w:val="clear" w:color="auto" w:fill="EAEAEA"/>
          </w:tcPr>
          <w:p>
            <w:pPr>
              <w:spacing w:after="0"/>
              <w:rPr>
                <w:sz w:val="19"/>
                <w:szCs w:val="19"/>
                <w:color w:val="auto"/>
              </w:rPr>
            </w:pPr>
          </w:p>
        </w:tc>
        <w:tc>
          <w:tcPr>
            <w:tcW w:w="34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40" w:type="dxa"/>
            <w:vAlign w:val="bottom"/>
            <w:tcBorders>
              <w:top w:val="single" w:sz="8" w:color="EAEAEA"/>
            </w:tcBorders>
            <w:shd w:val="clear" w:color="auto" w:fill="EAEAEA"/>
          </w:tcPr>
          <w:p>
            <w:pPr>
              <w:spacing w:after="0"/>
              <w:rPr>
                <w:sz w:val="19"/>
                <w:szCs w:val="19"/>
                <w:color w:val="auto"/>
              </w:rPr>
            </w:pPr>
          </w:p>
        </w:tc>
        <w:tc>
          <w:tcPr>
            <w:tcW w:w="34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auto"/>
            </w:tcBorders>
            <w:shd w:val="clear" w:color="auto" w:fill="EAEAEA"/>
          </w:tcPr>
          <w:p>
            <w:pPr>
              <w:spacing w:after="0"/>
              <w:rPr>
                <w:sz w:val="19"/>
                <w:szCs w:val="19"/>
                <w:color w:val="auto"/>
              </w:rPr>
            </w:pPr>
          </w:p>
        </w:tc>
        <w:tc>
          <w:tcPr>
            <w:tcW w:w="580" w:type="dxa"/>
            <w:vAlign w:val="bottom"/>
            <w:tcBorders>
              <w:top w:val="single" w:sz="8" w:color="auto"/>
            </w:tcBorders>
            <w:shd w:val="clear" w:color="auto" w:fill="EAEAEA"/>
          </w:tcPr>
          <w:p>
            <w:pPr>
              <w:spacing w:after="0"/>
              <w:rPr>
                <w:sz w:val="19"/>
                <w:szCs w:val="19"/>
                <w:color w:val="auto"/>
              </w:rPr>
            </w:pPr>
          </w:p>
        </w:tc>
        <w:tc>
          <w:tcPr>
            <w:tcW w:w="340" w:type="dxa"/>
            <w:vAlign w:val="bottom"/>
            <w:tcBorders>
              <w:top w:val="single" w:sz="8" w:color="auto"/>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Owned</w:t>
            </w:r>
          </w:p>
        </w:tc>
        <w:tc>
          <w:tcPr>
            <w:tcW w:w="8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Borders>
              <w:bottom w:val="single" w:sz="8" w:color="EAEAEA"/>
            </w:tcBorders>
            <w:shd w:val="clear" w:color="auto" w:fill="EAEAEA"/>
          </w:tcPr>
          <w:p>
            <w:pPr>
              <w:spacing w:after="0"/>
              <w:rPr>
                <w:sz w:val="20"/>
                <w:szCs w:val="20"/>
                <w:color w:val="auto"/>
              </w:rPr>
            </w:pPr>
          </w:p>
        </w:tc>
        <w:tc>
          <w:tcPr>
            <w:tcW w:w="756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Leased</w:t>
            </w:r>
          </w:p>
        </w:tc>
        <w:tc>
          <w:tcPr>
            <w:tcW w:w="86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32</w:t>
            </w:r>
          </w:p>
        </w:tc>
        <w:tc>
          <w:tcPr>
            <w:tcW w:w="10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58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32</w:t>
            </w:r>
          </w:p>
        </w:tc>
        <w:tc>
          <w:tcPr>
            <w:tcW w:w="8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760" w:type="dxa"/>
            <w:vAlign w:val="bottom"/>
            <w:tcBorders>
              <w:bottom w:val="single" w:sz="8" w:color="EAEAEA"/>
            </w:tcBorders>
            <w:gridSpan w:val="2"/>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86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1,105</w:t>
            </w:r>
          </w:p>
        </w:tc>
        <w:tc>
          <w:tcPr>
            <w:tcW w:w="100" w:type="dxa"/>
            <w:vAlign w:val="bottom"/>
            <w:tcBorders>
              <w:bottom w:val="single" w:sz="8" w:color="EAEAEA"/>
            </w:tcBorders>
          </w:tcPr>
          <w:p>
            <w:pPr>
              <w:spacing w:after="0"/>
              <w:rPr>
                <w:sz w:val="23"/>
                <w:szCs w:val="23"/>
                <w:color w:val="auto"/>
              </w:rPr>
            </w:pPr>
          </w:p>
        </w:tc>
        <w:tc>
          <w:tcPr>
            <w:tcW w:w="140" w:type="dxa"/>
            <w:vAlign w:val="bottom"/>
            <w:tcBorders>
              <w:bottom w:val="single" w:sz="8" w:color="EAEAEA"/>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1,094</w:t>
            </w:r>
          </w:p>
        </w:tc>
        <w:tc>
          <w:tcPr>
            <w:tcW w:w="80" w:type="dxa"/>
            <w:vAlign w:val="bottom"/>
            <w:tcBorders>
              <w:bottom w:val="single" w:sz="8" w:color="EAEAEA"/>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0" w:type="dxa"/>
            <w:vAlign w:val="bottom"/>
            <w:tcBorders>
              <w:bottom w:val="single" w:sz="8" w:color="EAEAEA"/>
            </w:tcBorders>
            <w:shd w:val="clear" w:color="auto" w:fill="EAEAEA"/>
          </w:tcPr>
          <w:p>
            <w:pPr>
              <w:spacing w:after="0"/>
              <w:rPr>
                <w:sz w:val="16"/>
                <w:szCs w:val="16"/>
                <w:color w:val="auto"/>
              </w:rPr>
            </w:pPr>
          </w:p>
        </w:tc>
        <w:tc>
          <w:tcPr>
            <w:tcW w:w="7560" w:type="dxa"/>
            <w:vAlign w:val="bottom"/>
            <w:tcBorders>
              <w:bottom w:val="single" w:sz="8" w:color="EAEAEA"/>
            </w:tcBorders>
            <w:shd w:val="clear" w:color="auto" w:fill="EAEAEA"/>
          </w:tcPr>
          <w:p>
            <w:pPr>
              <w:spacing w:after="0" w:line="174" w:lineRule="exact"/>
              <w:rPr>
                <w:sz w:val="20"/>
                <w:szCs w:val="20"/>
                <w:color w:val="auto"/>
              </w:rPr>
            </w:pPr>
            <w:r>
              <w:rPr>
                <w:rFonts w:ascii="Times New Roman" w:cs="Times New Roman" w:eastAsia="Times New Roman" w:hAnsi="Times New Roman"/>
                <w:sz w:val="20"/>
                <w:szCs w:val="20"/>
                <w:color w:val="auto"/>
                <w:shd w:val="clear" w:color="auto" w:fill="EAEAEA"/>
              </w:rPr>
              <w:t>Barrel capacity (in millions)</w:t>
            </w:r>
          </w:p>
        </w:tc>
        <w:tc>
          <w:tcPr>
            <w:tcW w:w="86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gridSpan w:val="2"/>
            <w:shd w:val="clear" w:color="auto" w:fill="EAEAEA"/>
          </w:tcPr>
          <w:p>
            <w:pPr>
              <w:jc w:val="right"/>
              <w:spacing w:after="0" w:line="174" w:lineRule="exact"/>
              <w:rPr>
                <w:sz w:val="20"/>
                <w:szCs w:val="20"/>
                <w:color w:val="auto"/>
              </w:rPr>
            </w:pPr>
            <w:r>
              <w:rPr>
                <w:rFonts w:ascii="Times New Roman" w:cs="Times New Roman" w:eastAsia="Times New Roman" w:hAnsi="Times New Roman"/>
                <w:sz w:val="20"/>
                <w:szCs w:val="20"/>
                <w:color w:val="auto"/>
                <w:shd w:val="clear" w:color="auto" w:fill="EAEAEA"/>
              </w:rPr>
              <w:t>24.5</w:t>
            </w: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58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jc w:val="right"/>
              <w:spacing w:after="0" w:line="174" w:lineRule="exact"/>
              <w:rPr>
                <w:sz w:val="20"/>
                <w:szCs w:val="20"/>
                <w:color w:val="auto"/>
              </w:rPr>
            </w:pPr>
            <w:r>
              <w:rPr>
                <w:rFonts w:ascii="Times New Roman" w:cs="Times New Roman" w:eastAsia="Times New Roman" w:hAnsi="Times New Roman"/>
                <w:sz w:val="20"/>
                <w:szCs w:val="20"/>
                <w:color w:val="auto"/>
                <w:w w:val="91"/>
                <w:shd w:val="clear" w:color="auto" w:fill="EAEAEA"/>
              </w:rPr>
              <w:t>24.2</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Active inland towboats (quarter average):</w:t>
            </w:r>
          </w:p>
        </w:tc>
        <w:tc>
          <w:tcPr>
            <w:tcW w:w="86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58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Owned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Borders>
              <w:bottom w:val="single" w:sz="8" w:color="EAEAEA"/>
            </w:tcBorders>
            <w:shd w:val="clear" w:color="auto" w:fill="EAEAEA"/>
          </w:tcPr>
          <w:p>
            <w:pPr>
              <w:spacing w:after="0"/>
              <w:rPr>
                <w:sz w:val="20"/>
                <w:szCs w:val="20"/>
                <w:color w:val="auto"/>
              </w:rPr>
            </w:pPr>
          </w:p>
        </w:tc>
        <w:tc>
          <w:tcPr>
            <w:tcW w:w="756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Chartered</w:t>
            </w:r>
          </w:p>
        </w:tc>
        <w:tc>
          <w:tcPr>
            <w:tcW w:w="86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66</w:t>
            </w:r>
          </w:p>
        </w:tc>
        <w:tc>
          <w:tcPr>
            <w:tcW w:w="10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58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65</w:t>
            </w:r>
          </w:p>
        </w:tc>
        <w:tc>
          <w:tcPr>
            <w:tcW w:w="8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760" w:type="dxa"/>
            <w:vAlign w:val="bottom"/>
            <w:tcBorders>
              <w:bottom w:val="single" w:sz="8" w:color="EAEAEA"/>
            </w:tcBorders>
            <w:gridSpan w:val="2"/>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86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266</w:t>
            </w:r>
          </w:p>
        </w:tc>
        <w:tc>
          <w:tcPr>
            <w:tcW w:w="100" w:type="dxa"/>
            <w:vAlign w:val="bottom"/>
            <w:tcBorders>
              <w:bottom w:val="single" w:sz="8" w:color="EAEAEA"/>
            </w:tcBorders>
          </w:tcPr>
          <w:p>
            <w:pPr>
              <w:spacing w:after="0"/>
              <w:rPr>
                <w:sz w:val="23"/>
                <w:szCs w:val="23"/>
                <w:color w:val="auto"/>
              </w:rPr>
            </w:pPr>
          </w:p>
        </w:tc>
        <w:tc>
          <w:tcPr>
            <w:tcW w:w="140" w:type="dxa"/>
            <w:vAlign w:val="bottom"/>
            <w:tcBorders>
              <w:bottom w:val="single" w:sz="8" w:color="EAEAEA"/>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281</w:t>
            </w:r>
          </w:p>
        </w:tc>
        <w:tc>
          <w:tcPr>
            <w:tcW w:w="80" w:type="dxa"/>
            <w:vAlign w:val="bottom"/>
            <w:tcBorders>
              <w:bottom w:val="single" w:sz="8" w:color="EAEAEA"/>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EAEAEA"/>
          </w:tcPr>
          <w:p>
            <w:pPr>
              <w:spacing w:after="0"/>
              <w:rPr>
                <w:sz w:val="18"/>
                <w:szCs w:val="18"/>
                <w:color w:val="auto"/>
              </w:rPr>
            </w:pPr>
          </w:p>
        </w:tc>
        <w:tc>
          <w:tcPr>
            <w:tcW w:w="756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58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Coastal tank barges: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EAEAEA"/>
            </w:tcBorders>
            <w:shd w:val="clear" w:color="auto" w:fill="EAEAEA"/>
          </w:tcPr>
          <w:p>
            <w:pPr>
              <w:spacing w:after="0"/>
              <w:rPr>
                <w:sz w:val="18"/>
                <w:szCs w:val="18"/>
                <w:color w:val="auto"/>
              </w:rPr>
            </w:pPr>
          </w:p>
        </w:tc>
        <w:tc>
          <w:tcPr>
            <w:tcW w:w="756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Owned</w:t>
            </w:r>
          </w:p>
        </w:tc>
        <w:tc>
          <w:tcPr>
            <w:tcW w:w="86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28</w:t>
            </w:r>
          </w:p>
        </w:tc>
        <w:tc>
          <w:tcPr>
            <w:tcW w:w="10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58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28</w:t>
            </w:r>
          </w:p>
        </w:tc>
        <w:tc>
          <w:tcPr>
            <w:tcW w:w="8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Leased</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Borders>
              <w:top w:val="single" w:sz="8" w:color="EAEAEA"/>
              <w:bottom w:val="single" w:sz="8" w:color="EAEAEA"/>
            </w:tcBorders>
            <w:shd w:val="clear" w:color="auto" w:fill="EAEAEA"/>
          </w:tcPr>
          <w:p>
            <w:pPr>
              <w:spacing w:after="0"/>
              <w:rPr>
                <w:sz w:val="19"/>
                <w:szCs w:val="19"/>
                <w:color w:val="auto"/>
              </w:rPr>
            </w:pPr>
          </w:p>
        </w:tc>
        <w:tc>
          <w:tcPr>
            <w:tcW w:w="7560" w:type="dxa"/>
            <w:vAlign w:val="bottom"/>
            <w:tcBorders>
              <w:top w:val="single" w:sz="8" w:color="EAEAEA"/>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Total</w:t>
            </w:r>
          </w:p>
        </w:tc>
        <w:tc>
          <w:tcPr>
            <w:tcW w:w="860" w:type="dxa"/>
            <w:vAlign w:val="bottom"/>
            <w:tcBorders>
              <w:top w:val="single" w:sz="8" w:color="auto"/>
              <w:bottom w:val="single" w:sz="8" w:color="EAEAEA"/>
            </w:tcBorders>
            <w:shd w:val="clear" w:color="auto" w:fill="EAEAEA"/>
          </w:tcPr>
          <w:p>
            <w:pPr>
              <w:spacing w:after="0"/>
              <w:rPr>
                <w:sz w:val="19"/>
                <w:szCs w:val="19"/>
                <w:color w:val="auto"/>
              </w:rPr>
            </w:pPr>
          </w:p>
        </w:tc>
        <w:tc>
          <w:tcPr>
            <w:tcW w:w="160" w:type="dxa"/>
            <w:vAlign w:val="bottom"/>
            <w:tcBorders>
              <w:top w:val="single" w:sz="8" w:color="auto"/>
              <w:bottom w:val="single" w:sz="8" w:color="EAEAEA"/>
            </w:tcBorders>
            <w:shd w:val="clear" w:color="auto" w:fill="EAEAEA"/>
          </w:tcPr>
          <w:p>
            <w:pPr>
              <w:spacing w:after="0"/>
              <w:rPr>
                <w:sz w:val="19"/>
                <w:szCs w:val="19"/>
                <w:color w:val="auto"/>
              </w:rPr>
            </w:pPr>
          </w:p>
        </w:tc>
        <w:tc>
          <w:tcPr>
            <w:tcW w:w="340" w:type="dxa"/>
            <w:vAlign w:val="bottom"/>
            <w:tcBorders>
              <w:top w:val="single" w:sz="8" w:color="auto"/>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28</w:t>
            </w: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34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spacing w:after="0"/>
              <w:rPr>
                <w:sz w:val="19"/>
                <w:szCs w:val="19"/>
                <w:color w:val="auto"/>
              </w:rPr>
            </w:pPr>
          </w:p>
        </w:tc>
        <w:tc>
          <w:tcPr>
            <w:tcW w:w="580" w:type="dxa"/>
            <w:vAlign w:val="bottom"/>
            <w:tcBorders>
              <w:top w:val="single" w:sz="8" w:color="auto"/>
              <w:bottom w:val="single" w:sz="8" w:color="EAEAEA"/>
            </w:tcBorders>
            <w:shd w:val="clear" w:color="auto" w:fill="EAEAEA"/>
          </w:tcPr>
          <w:p>
            <w:pPr>
              <w:spacing w:after="0"/>
              <w:rPr>
                <w:sz w:val="19"/>
                <w:szCs w:val="19"/>
                <w:color w:val="auto"/>
              </w:rPr>
            </w:pPr>
          </w:p>
        </w:tc>
        <w:tc>
          <w:tcPr>
            <w:tcW w:w="340" w:type="dxa"/>
            <w:vAlign w:val="bottom"/>
            <w:tcBorders>
              <w:top w:val="single" w:sz="8" w:color="auto"/>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28</w:t>
            </w:r>
          </w:p>
        </w:tc>
        <w:tc>
          <w:tcPr>
            <w:tcW w:w="80" w:type="dxa"/>
            <w:vAlign w:val="bottom"/>
            <w:tcBorders>
              <w:top w:val="single" w:sz="8" w:color="EAEAEA"/>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Barrel capacity (in millions)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vMerge w:val="continue"/>
          </w:tcPr>
          <w:p>
            <w:pPr>
              <w:spacing w:after="0"/>
              <w:rPr>
                <w:sz w:val="18"/>
                <w:szCs w:val="18"/>
                <w:color w:val="auto"/>
              </w:rPr>
            </w:pPr>
          </w:p>
        </w:tc>
        <w:tc>
          <w:tcPr>
            <w:tcW w:w="75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EAEAEA"/>
          </w:tcPr>
          <w:p>
            <w:pPr>
              <w:spacing w:after="0"/>
              <w:rPr>
                <w:sz w:val="20"/>
                <w:szCs w:val="20"/>
                <w:color w:val="auto"/>
              </w:rPr>
            </w:pPr>
          </w:p>
        </w:tc>
        <w:tc>
          <w:tcPr>
            <w:tcW w:w="7560" w:type="dxa"/>
            <w:vAlign w:val="bottom"/>
            <w:shd w:val="clear" w:color="auto" w:fill="EAEAEA"/>
          </w:tcPr>
          <w:p>
            <w:pPr>
              <w:spacing w:after="0"/>
              <w:rPr>
                <w:sz w:val="20"/>
                <w:szCs w:val="20"/>
                <w:color w:val="auto"/>
              </w:rPr>
            </w:pPr>
          </w:p>
        </w:tc>
        <w:tc>
          <w:tcPr>
            <w:tcW w:w="86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58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Coastal tugboats: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EAEAEA"/>
            </w:tcBorders>
            <w:shd w:val="clear" w:color="auto" w:fill="EAEAEA"/>
          </w:tcPr>
          <w:p>
            <w:pPr>
              <w:spacing w:after="0"/>
              <w:rPr>
                <w:sz w:val="18"/>
                <w:szCs w:val="18"/>
                <w:color w:val="auto"/>
              </w:rPr>
            </w:pPr>
          </w:p>
        </w:tc>
        <w:tc>
          <w:tcPr>
            <w:tcW w:w="756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Owned</w:t>
            </w:r>
          </w:p>
        </w:tc>
        <w:tc>
          <w:tcPr>
            <w:tcW w:w="86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23</w:t>
            </w:r>
          </w:p>
        </w:tc>
        <w:tc>
          <w:tcPr>
            <w:tcW w:w="10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58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23</w:t>
            </w:r>
          </w:p>
        </w:tc>
        <w:tc>
          <w:tcPr>
            <w:tcW w:w="8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Chartered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5"/>
        </w:trPr>
        <w:tc>
          <w:tcPr>
            <w:tcW w:w="200" w:type="dxa"/>
            <w:vAlign w:val="bottom"/>
            <w:tcBorders>
              <w:top w:val="single" w:sz="8" w:color="EAEAEA"/>
              <w:bottom w:val="single" w:sz="8" w:color="EAEAEA"/>
            </w:tcBorders>
            <w:shd w:val="clear" w:color="auto" w:fill="EAEAEA"/>
          </w:tcPr>
          <w:p>
            <w:pPr>
              <w:spacing w:after="0"/>
              <w:rPr>
                <w:sz w:val="19"/>
                <w:szCs w:val="19"/>
                <w:color w:val="auto"/>
              </w:rPr>
            </w:pPr>
          </w:p>
        </w:tc>
        <w:tc>
          <w:tcPr>
            <w:tcW w:w="7560" w:type="dxa"/>
            <w:vAlign w:val="bottom"/>
            <w:tcBorders>
              <w:top w:val="single" w:sz="8" w:color="EAEAEA"/>
              <w:bottom w:val="single" w:sz="8" w:color="EAEAEA"/>
            </w:tcBorders>
            <w:shd w:val="clear" w:color="auto" w:fill="EAEAEA"/>
          </w:tcPr>
          <w:p>
            <w:pPr>
              <w:spacing w:after="0" w:line="182" w:lineRule="exact"/>
              <w:rPr>
                <w:sz w:val="20"/>
                <w:szCs w:val="20"/>
                <w:color w:val="auto"/>
              </w:rPr>
            </w:pPr>
            <w:r>
              <w:rPr>
                <w:rFonts w:ascii="Times New Roman" w:cs="Times New Roman" w:eastAsia="Times New Roman" w:hAnsi="Times New Roman"/>
                <w:sz w:val="20"/>
                <w:szCs w:val="20"/>
                <w:color w:val="auto"/>
                <w:shd w:val="clear" w:color="auto" w:fill="EAEAEA"/>
              </w:rPr>
              <w:t>Total</w:t>
            </w:r>
          </w:p>
        </w:tc>
        <w:tc>
          <w:tcPr>
            <w:tcW w:w="860" w:type="dxa"/>
            <w:vAlign w:val="bottom"/>
            <w:tcBorders>
              <w:top w:val="single" w:sz="8" w:color="auto"/>
              <w:bottom w:val="single" w:sz="8" w:color="EAEAEA"/>
            </w:tcBorders>
            <w:shd w:val="clear" w:color="auto" w:fill="EAEAEA"/>
          </w:tcPr>
          <w:p>
            <w:pPr>
              <w:spacing w:after="0"/>
              <w:rPr>
                <w:sz w:val="19"/>
                <w:szCs w:val="19"/>
                <w:color w:val="auto"/>
              </w:rPr>
            </w:pPr>
          </w:p>
        </w:tc>
        <w:tc>
          <w:tcPr>
            <w:tcW w:w="160" w:type="dxa"/>
            <w:vAlign w:val="bottom"/>
            <w:tcBorders>
              <w:top w:val="single" w:sz="8" w:color="auto"/>
              <w:bottom w:val="single" w:sz="8" w:color="EAEAEA"/>
            </w:tcBorders>
            <w:shd w:val="clear" w:color="auto" w:fill="EAEAEA"/>
          </w:tcPr>
          <w:p>
            <w:pPr>
              <w:spacing w:after="0"/>
              <w:rPr>
                <w:sz w:val="19"/>
                <w:szCs w:val="19"/>
                <w:color w:val="auto"/>
              </w:rPr>
            </w:pPr>
          </w:p>
        </w:tc>
        <w:tc>
          <w:tcPr>
            <w:tcW w:w="340" w:type="dxa"/>
            <w:vAlign w:val="bottom"/>
            <w:tcBorders>
              <w:top w:val="single" w:sz="8" w:color="auto"/>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20"/>
                <w:szCs w:val="20"/>
                <w:color w:val="auto"/>
                <w:shd w:val="clear" w:color="auto" w:fill="EAEAEA"/>
              </w:rPr>
              <w:t>24</w:t>
            </w: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34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spacing w:after="0"/>
              <w:rPr>
                <w:sz w:val="19"/>
                <w:szCs w:val="19"/>
                <w:color w:val="auto"/>
              </w:rPr>
            </w:pPr>
          </w:p>
        </w:tc>
        <w:tc>
          <w:tcPr>
            <w:tcW w:w="580" w:type="dxa"/>
            <w:vAlign w:val="bottom"/>
            <w:tcBorders>
              <w:top w:val="single" w:sz="8" w:color="auto"/>
              <w:bottom w:val="single" w:sz="8" w:color="EAEAEA"/>
            </w:tcBorders>
            <w:shd w:val="clear" w:color="auto" w:fill="EAEAEA"/>
          </w:tcPr>
          <w:p>
            <w:pPr>
              <w:spacing w:after="0"/>
              <w:rPr>
                <w:sz w:val="19"/>
                <w:szCs w:val="19"/>
                <w:color w:val="auto"/>
              </w:rPr>
            </w:pPr>
          </w:p>
        </w:tc>
        <w:tc>
          <w:tcPr>
            <w:tcW w:w="340" w:type="dxa"/>
            <w:vAlign w:val="bottom"/>
            <w:tcBorders>
              <w:top w:val="single" w:sz="8" w:color="auto"/>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20"/>
                <w:szCs w:val="20"/>
                <w:color w:val="auto"/>
                <w:shd w:val="clear" w:color="auto" w:fill="EAEAEA"/>
              </w:rPr>
              <w:t>24</w:t>
            </w:r>
          </w:p>
        </w:tc>
        <w:tc>
          <w:tcPr>
            <w:tcW w:w="80" w:type="dxa"/>
            <w:vAlign w:val="bottom"/>
            <w:tcBorders>
              <w:top w:val="single" w:sz="8" w:color="EAEAEA"/>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Offshore dry-bulk cargo barges (owned)</w:t>
            </w:r>
          </w:p>
        </w:tc>
        <w:tc>
          <w:tcPr>
            <w:tcW w:w="86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w:t>
            </w: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580" w:type="dxa"/>
            <w:vAlign w:val="bottom"/>
            <w:shd w:val="clear" w:color="auto" w:fill="EAEAEA"/>
          </w:tcPr>
          <w:p>
            <w:pPr>
              <w:spacing w:after="0"/>
              <w:rPr>
                <w:sz w:val="20"/>
                <w:szCs w:val="20"/>
                <w:color w:val="auto"/>
              </w:rPr>
            </w:pPr>
          </w:p>
        </w:tc>
        <w:tc>
          <w:tcPr>
            <w:tcW w:w="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4</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Offshore tugboats and docking tugboat (owned and chartered)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-3829050</wp:posOffset>
            </wp:positionV>
            <wp:extent cx="191516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3">
                      <a:extLst>
                        <a:ext uri="{28A0092B-C50C-407E-A947-70E740481C1C}"/>
                      </a:extLst>
                    </a:blip>
                    <a:srcRect/>
                    <a:stretch>
                      <a:fillRect/>
                    </a:stretch>
                  </pic:blipFill>
                  <pic:spPr bwMode="auto">
                    <a:xfrm>
                      <a:off x="0" y="0"/>
                      <a:ext cx="1915160" cy="3492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-3693160</wp:posOffset>
            </wp:positionV>
            <wp:extent cx="88773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4">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-3245485</wp:posOffset>
            </wp:positionV>
            <wp:extent cx="88773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-2331085</wp:posOffset>
            </wp:positionV>
            <wp:extent cx="88773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6">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-1562735</wp:posOffset>
            </wp:positionV>
            <wp:extent cx="88773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-648335</wp:posOffset>
            </wp:positionV>
            <wp:extent cx="88773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8">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6005195</wp:posOffset>
            </wp:positionH>
            <wp:positionV relativeFrom="paragraph">
              <wp:posOffset>-3070860</wp:posOffset>
            </wp:positionV>
            <wp:extent cx="81978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9">
                      <a:extLst>
                        <a:ext uri="{28A0092B-C50C-407E-A947-70E740481C1C}"/>
                      </a:extLst>
                    </a:blip>
                    <a:srcRect/>
                    <a:stretch>
                      <a:fillRect/>
                    </a:stretch>
                  </pic:blipFill>
                  <pic:spPr bwMode="auto">
                    <a:xfrm>
                      <a:off x="0" y="0"/>
                      <a:ext cx="819785" cy="25400"/>
                    </a:xfrm>
                    <a:prstGeom prst="rect">
                      <a:avLst/>
                    </a:prstGeom>
                    <a:noFill/>
                  </pic:spPr>
                </pic:pic>
              </a:graphicData>
            </a:graphic>
          </wp:anchor>
        </w:drawing>
        <w:drawing>
          <wp:anchor simplePos="0" relativeHeight="251657728" behindDoc="1" locked="0" layoutInCell="0" allowOverlap="1">
            <wp:simplePos x="0" y="0"/>
            <wp:positionH relativeFrom="column">
              <wp:posOffset>6005195</wp:posOffset>
            </wp:positionH>
            <wp:positionV relativeFrom="paragraph">
              <wp:posOffset>-2156460</wp:posOffset>
            </wp:positionV>
            <wp:extent cx="81978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0">
                      <a:extLst>
                        <a:ext uri="{28A0092B-C50C-407E-A947-70E740481C1C}"/>
                      </a:extLst>
                    </a:blip>
                    <a:srcRect/>
                    <a:stretch>
                      <a:fillRect/>
                    </a:stretch>
                  </pic:blipFill>
                  <pic:spPr bwMode="auto">
                    <a:xfrm>
                      <a:off x="0" y="0"/>
                      <a:ext cx="819785" cy="25400"/>
                    </a:xfrm>
                    <a:prstGeom prst="rect">
                      <a:avLst/>
                    </a:prstGeom>
                    <a:noFill/>
                  </pic:spPr>
                </pic:pic>
              </a:graphicData>
            </a:graphic>
          </wp:anchor>
        </w:drawing>
        <w:drawing>
          <wp:anchor simplePos="0" relativeHeight="251657728" behindDoc="1" locked="0" layoutInCell="0" allowOverlap="1">
            <wp:simplePos x="0" y="0"/>
            <wp:positionH relativeFrom="column">
              <wp:posOffset>6005195</wp:posOffset>
            </wp:positionH>
            <wp:positionV relativeFrom="paragraph">
              <wp:posOffset>-1388110</wp:posOffset>
            </wp:positionV>
            <wp:extent cx="81978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1">
                      <a:extLst>
                        <a:ext uri="{28A0092B-C50C-407E-A947-70E740481C1C}"/>
                      </a:extLst>
                    </a:blip>
                    <a:srcRect/>
                    <a:stretch>
                      <a:fillRect/>
                    </a:stretch>
                  </pic:blipFill>
                  <pic:spPr bwMode="auto">
                    <a:xfrm>
                      <a:off x="0" y="0"/>
                      <a:ext cx="819785" cy="25400"/>
                    </a:xfrm>
                    <a:prstGeom prst="rect">
                      <a:avLst/>
                    </a:prstGeom>
                    <a:noFill/>
                  </pic:spPr>
                </pic:pic>
              </a:graphicData>
            </a:graphic>
          </wp:anchor>
        </w:drawing>
        <w:drawing>
          <wp:anchor simplePos="0" relativeHeight="251657728" behindDoc="1" locked="0" layoutInCell="0" allowOverlap="1">
            <wp:simplePos x="0" y="0"/>
            <wp:positionH relativeFrom="column">
              <wp:posOffset>6005195</wp:posOffset>
            </wp:positionH>
            <wp:positionV relativeFrom="paragraph">
              <wp:posOffset>-473710</wp:posOffset>
            </wp:positionV>
            <wp:extent cx="81978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2">
                      <a:extLst>
                        <a:ext uri="{28A0092B-C50C-407E-A947-70E740481C1C}"/>
                      </a:extLst>
                    </a:blip>
                    <a:srcRect/>
                    <a:stretch>
                      <a:fillRect/>
                    </a:stretch>
                  </pic:blipFill>
                  <pic:spPr bwMode="auto">
                    <a:xfrm>
                      <a:off x="0" y="0"/>
                      <a:ext cx="819785" cy="25400"/>
                    </a:xfrm>
                    <a:prstGeom prst="rect">
                      <a:avLst/>
                    </a:prstGeom>
                    <a:noFill/>
                  </pic:spPr>
                </pic:pic>
              </a:graphicData>
            </a:graphic>
          </wp:anchor>
        </w:drawing>
      </w:r>
    </w:p>
    <w:p>
      <w:pPr>
        <w:spacing w:after="0" w:line="12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also operates shifting and fleeting facilities for dry cargo barges and tank barges on the Houston Ship Channel, in Freeport and Port Arthur, Texas, and Lake Charles, Louisiana, and its San Jac shipyard for building inland towboats and performing routine maintenance on marine vessels near the Houston Ship Channel. The Company also owns a two-thirds interest in Osprey Line L.L.C., a transporter of project cargoes and cargo containers by barge on the United States inland waterway system.</w:t>
      </w:r>
    </w:p>
    <w:p>
      <w:pPr>
        <w:spacing w:after="0" w:line="15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For 2025, 58% of the Company’s revenues were generated by KMT. The segment’s customers include many of the major petrochemical and refining companies that operate in the United States. Products transported include intermediate materials used to produce many of the end products used widely by businesses and consumers — plastics, fibers,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60" w:lineRule="exact"/>
        <w:rPr>
          <w:sz w:val="20"/>
          <w:szCs w:val="20"/>
          <w:color w:val="auto"/>
        </w:rPr>
      </w:pPr>
    </w:p>
    <w:p>
      <w:pPr>
        <w:jc w:val="both"/>
        <w:ind w:firstLine="358"/>
        <w:spacing w:after="0" w:line="249" w:lineRule="auto"/>
        <w:rPr>
          <w:sz w:val="20"/>
          <w:szCs w:val="20"/>
          <w:color w:val="auto"/>
        </w:rPr>
      </w:pPr>
      <w:r>
        <w:rPr>
          <w:rFonts w:ascii="Times New Roman" w:cs="Times New Roman" w:eastAsia="Times New Roman" w:hAnsi="Times New Roman"/>
          <w:sz w:val="20"/>
          <w:szCs w:val="20"/>
          <w:color w:val="auto"/>
        </w:rPr>
        <w:t>KMT’s revenues for 2025 increased 1% compared to 2024 and operating income increased 3%, compared to 2024. The increase in revenues for 2025 was primarily due to higher term pricing in the coastal market and higher term and spot pricing in the inland market during the 2025 first half, partially offset by lower fuel rebills in both the inland and coastal markets. The increase in operating income for 2025 as compared to 2024 was primarily due to higher term pricing in the coastal market and higher term and spot pricing in the inland market over the 2025 first half, partially offset by lower barge utilization and moderating prices in the inland market in</w:t>
      </w:r>
    </w:p>
    <w:p>
      <w:pPr>
        <w:sectPr>
          <w:pgSz w:w="12240" w:h="15840" w:orient="portrait"/>
          <w:cols w:equalWidth="0" w:num="1">
            <w:col w:w="10800"/>
          </w:cols>
          <w:pgMar w:left="720" w:top="929" w:right="720" w:bottom="199" w:gutter="0" w:footer="0" w:header="0"/>
        </w:sectPr>
      </w:pP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2240" w:h="15840" w:orient="portrait"/>
          <w:cols w:equalWidth="0" w:num="1">
            <w:col w:w="10800"/>
          </w:cols>
          <w:pgMar w:left="720" w:top="929" w:right="720" w:bottom="199" w:gutter="0" w:footer="0" w:header="0"/>
          <w:type w:val="continuous"/>
        </w:sectPr>
      </w:pPr>
    </w:p>
    <w:bookmarkStart w:id="47" w:name="page48"/>
    <w:bookmarkEnd w:id="47"/>
    <w:p>
      <w:pPr>
        <w:jc w:val="both"/>
        <w:ind w:hanging="4"/>
        <w:spacing w:after="0" w:line="278" w:lineRule="auto"/>
        <w:rPr>
          <w:sz w:val="20"/>
          <w:szCs w:val="20"/>
          <w:color w:val="auto"/>
        </w:rPr>
      </w:pPr>
      <w:r>
        <w:rPr>
          <w:rFonts w:ascii="Times New Roman" w:cs="Times New Roman" w:eastAsia="Times New Roman" w:hAnsi="Times New Roman"/>
          <w:sz w:val="20"/>
          <w:szCs w:val="20"/>
          <w:color w:val="auto"/>
        </w:rPr>
        <w:t>the 2025 second half. For 2025 and 2024, the inland tank barge fleet contributed 80% and 81%, respectively, and the coastal fleet contributed 20% and 19%, respectively, of marine transportation revenues.</w:t>
      </w:r>
    </w:p>
    <w:p>
      <w:pPr>
        <w:spacing w:after="0" w:line="127" w:lineRule="exact"/>
        <w:rPr>
          <w:sz w:val="20"/>
          <w:szCs w:val="20"/>
          <w:color w:val="auto"/>
        </w:rPr>
      </w:pPr>
    </w:p>
    <w:p>
      <w:pPr>
        <w:jc w:val="both"/>
        <w:ind w:firstLine="365"/>
        <w:spacing w:after="0" w:line="247" w:lineRule="auto"/>
        <w:rPr>
          <w:sz w:val="20"/>
          <w:szCs w:val="20"/>
          <w:color w:val="auto"/>
        </w:rPr>
      </w:pPr>
      <w:r>
        <w:rPr>
          <w:rFonts w:ascii="Times New Roman" w:cs="Times New Roman" w:eastAsia="Times New Roman" w:hAnsi="Times New Roman"/>
          <w:sz w:val="20"/>
          <w:szCs w:val="20"/>
          <w:color w:val="auto"/>
        </w:rPr>
        <w:t>Inland tank barge utilization levels in 2025 were flat as compared to 2024, ranging from the low to mid-90% range during both the 2025 first and second quarters, and mid-80% range during the 2025 third quarter, and the mid to high 80% range during the 2 025 fourth quarter. L</w:t>
      </w:r>
      <w:r>
        <w:rPr>
          <w:rFonts w:ascii="Times New Roman" w:cs="Times New Roman" w:eastAsia="Times New Roman" w:hAnsi="Times New Roman"/>
          <w:sz w:val="19"/>
          <w:szCs w:val="19"/>
          <w:color w:val="auto"/>
        </w:rPr>
        <w:t>ighter feedstock mix for refinery and chemical customers and fewer barges undergoing maintenance across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industry impacted utilization in the 2025 second half. </w:t>
      </w:r>
      <w:r>
        <w:rPr>
          <w:rFonts w:ascii="Times New Roman" w:cs="Times New Roman" w:eastAsia="Times New Roman" w:hAnsi="Times New Roman"/>
          <w:sz w:val="20"/>
          <w:szCs w:val="20"/>
          <w:color w:val="auto"/>
        </w:rPr>
        <w:t>During 2024, inland tank barge utilization levels ranged from the low to mid-90% range during both the 2024 first and second quarters and the 90% range during both the 2024 third and fourth quarters. Coastal tank barge utilization levels during both 2025 and 2024 averaged in the mid to high 90% range.</w:t>
      </w:r>
    </w:p>
    <w:p>
      <w:pPr>
        <w:spacing w:after="0" w:line="160" w:lineRule="exact"/>
        <w:rPr>
          <w:sz w:val="20"/>
          <w:szCs w:val="20"/>
          <w:color w:val="auto"/>
        </w:rPr>
      </w:pPr>
    </w:p>
    <w:p>
      <w:pPr>
        <w:jc w:val="both"/>
        <w:ind w:firstLine="362"/>
        <w:spacing w:after="0" w:line="245" w:lineRule="auto"/>
        <w:rPr>
          <w:sz w:val="20"/>
          <w:szCs w:val="20"/>
          <w:color w:val="auto"/>
        </w:rPr>
      </w:pPr>
      <w:r>
        <w:rPr>
          <w:rFonts w:ascii="Times New Roman" w:cs="Times New Roman" w:eastAsia="Times New Roman" w:hAnsi="Times New Roman"/>
          <w:sz w:val="20"/>
          <w:szCs w:val="20"/>
          <w:color w:val="auto"/>
        </w:rPr>
        <w:t>Approximately 70% of the inland marine transportation revenues were under term contracts and 30% were under spot contracts in 2025. Approximately 65% of the inland marine transportation revenues were under term contracts and 35% were under spot contract in 2024. Term contracts provide the operations with a reasonably predictable revenue stream. Inland time charters, which help insulate the Company from revenue fluctuations caused by weather and navigational delays and temporary market declines, represented 59% of the inland revenues under term contracts during 2025 and 61% in 2024. During 2025 and 2024, approximately 100% and 99%, respectively, of coastal revenues were under term contracts and none and 1%, respectively, were under spot contracts. Coastal time charters represented approximately 100% and 98% of coastal revenues under term contracts during 2025 and 2024, respectively. Term contracts have contract terms of 12 months or longer, while spot contracts have contract terms of less than 12 months.</w:t>
      </w:r>
    </w:p>
    <w:p>
      <w:pPr>
        <w:spacing w:after="0" w:line="163" w:lineRule="exact"/>
        <w:rPr>
          <w:sz w:val="20"/>
          <w:szCs w:val="20"/>
          <w:color w:val="auto"/>
        </w:rPr>
      </w:pPr>
    </w:p>
    <w:p>
      <w:pPr>
        <w:jc w:val="both"/>
        <w:ind w:firstLine="358"/>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average range of pricing changes in term and spot contracts renewed during 2025 compared to contracts renewed during the corresponding quarter of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8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20" w:type="dxa"/>
            <w:vAlign w:val="bottom"/>
            <w:vMerge w:val="restart"/>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September 30, 2025</w:t>
            </w:r>
          </w:p>
        </w:tc>
        <w:tc>
          <w:tcPr>
            <w:tcW w:w="1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80" w:type="dxa"/>
            <w:vAlign w:val="bottom"/>
            <w:tcBorders>
              <w:bottom w:val="single" w:sz="8" w:color="EAEAEA"/>
            </w:tcBorders>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4"/>
                <w:szCs w:val="14"/>
                <w:b w:val="1"/>
                <w:bCs w:val="1"/>
                <w:color w:val="auto"/>
                <w:highlight w:val="white"/>
              </w:rPr>
              <w:t>March 31, 2025</w:t>
            </w:r>
          </w:p>
        </w:tc>
        <w:tc>
          <w:tcPr>
            <w:tcW w:w="2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EAEAEA"/>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4"/>
                <w:szCs w:val="14"/>
                <w:b w:val="1"/>
                <w:bCs w:val="1"/>
                <w:color w:val="auto"/>
                <w:highlight w:val="white"/>
              </w:rPr>
              <w:t>June 30, 2025</w:t>
            </w:r>
          </w:p>
        </w:tc>
        <w:tc>
          <w:tcPr>
            <w:tcW w:w="3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EAEAEA"/>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EAEAEA"/>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4"/>
                <w:szCs w:val="14"/>
                <w:b w:val="1"/>
                <w:bCs w:val="1"/>
                <w:color w:val="auto"/>
                <w:highlight w:val="white"/>
              </w:rPr>
              <w:t>December 31, 2025</w:t>
            </w:r>
          </w:p>
        </w:tc>
        <w:tc>
          <w:tcPr>
            <w:tcW w:w="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080" w:type="dxa"/>
            <w:vAlign w:val="bottom"/>
            <w:tcBorders>
              <w:bottom w:val="single" w:sz="8" w:color="EAEAEA"/>
            </w:tcBorders>
            <w:shd w:val="clear" w:color="auto" w:fill="EAEAEA"/>
          </w:tcPr>
          <w:p>
            <w:pPr>
              <w:spacing w:after="0" w:line="200" w:lineRule="exact"/>
              <w:rPr>
                <w:sz w:val="20"/>
                <w:szCs w:val="20"/>
                <w:color w:val="auto"/>
              </w:rPr>
            </w:pPr>
            <w:r>
              <w:rPr>
                <w:rFonts w:ascii="Times New Roman" w:cs="Times New Roman" w:eastAsia="Times New Roman" w:hAnsi="Times New Roman"/>
                <w:sz w:val="20"/>
                <w:szCs w:val="20"/>
                <w:color w:val="auto"/>
                <w:shd w:val="clear" w:color="auto" w:fill="EAEAEA"/>
              </w:rPr>
              <w:t>Inland market:</w:t>
            </w:r>
          </w:p>
        </w:tc>
        <w:tc>
          <w:tcPr>
            <w:tcW w:w="240" w:type="dxa"/>
            <w:vAlign w:val="bottom"/>
            <w:tcBorders>
              <w:bottom w:val="single" w:sz="8" w:color="EAEAEA"/>
            </w:tcBorders>
            <w:shd w:val="clear" w:color="auto" w:fill="EAEAEA"/>
          </w:tcPr>
          <w:p>
            <w:pPr>
              <w:spacing w:after="0"/>
              <w:rPr>
                <w:sz w:val="19"/>
                <w:szCs w:val="19"/>
                <w:color w:val="auto"/>
              </w:rPr>
            </w:pPr>
          </w:p>
        </w:tc>
        <w:tc>
          <w:tcPr>
            <w:tcW w:w="106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rPr>
                <w:sz w:val="19"/>
                <w:szCs w:val="19"/>
                <w:color w:val="auto"/>
              </w:rPr>
            </w:pPr>
          </w:p>
        </w:tc>
        <w:tc>
          <w:tcPr>
            <w:tcW w:w="94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3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2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Term</w:t>
            </w:r>
          </w:p>
        </w:tc>
        <w:tc>
          <w:tcPr>
            <w:tcW w:w="2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 – 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 – 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 – 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 – (5)%</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EAEAEA"/>
            </w:tcBorders>
            <w:shd w:val="clear" w:color="auto" w:fill="EAEAEA"/>
          </w:tcPr>
          <w:p>
            <w:pPr>
              <w:ind w:left="2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Spot</w:t>
            </w:r>
          </w:p>
        </w:tc>
        <w:tc>
          <w:tcPr>
            <w:tcW w:w="240" w:type="dxa"/>
            <w:vAlign w:val="bottom"/>
            <w:tcBorders>
              <w:bottom w:val="single" w:sz="8" w:color="EAEAEA"/>
            </w:tcBorders>
            <w:shd w:val="clear" w:color="auto" w:fill="EAEAEA"/>
          </w:tcPr>
          <w:p>
            <w:pPr>
              <w:spacing w:after="0"/>
              <w:rPr>
                <w:sz w:val="19"/>
                <w:szCs w:val="19"/>
                <w:color w:val="auto"/>
              </w:rPr>
            </w:pPr>
          </w:p>
        </w:tc>
        <w:tc>
          <w:tcPr>
            <w:tcW w:w="132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6% – 8%</w:t>
            </w:r>
          </w:p>
        </w:tc>
        <w:tc>
          <w:tcPr>
            <w:tcW w:w="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rPr>
                <w:sz w:val="19"/>
                <w:szCs w:val="19"/>
                <w:color w:val="auto"/>
              </w:rPr>
            </w:pPr>
          </w:p>
        </w:tc>
        <w:tc>
          <w:tcPr>
            <w:tcW w:w="126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6% – 8%</w:t>
            </w: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4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(2)% – (4)%</w:t>
            </w: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4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(4)% – (6)%</w:t>
            </w: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Coastal market (a):</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EAEAEA"/>
          </w:tcPr>
          <w:p>
            <w:pPr>
              <w:ind w:left="20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Term</w:t>
            </w:r>
          </w:p>
        </w:tc>
        <w:tc>
          <w:tcPr>
            <w:tcW w:w="240" w:type="dxa"/>
            <w:vAlign w:val="bottom"/>
            <w:shd w:val="clear" w:color="auto" w:fill="EAEAEA"/>
          </w:tcPr>
          <w:p>
            <w:pPr>
              <w:spacing w:after="0"/>
              <w:rPr>
                <w:sz w:val="17"/>
                <w:szCs w:val="17"/>
                <w:color w:val="auto"/>
              </w:rPr>
            </w:pPr>
          </w:p>
        </w:tc>
        <w:tc>
          <w:tcPr>
            <w:tcW w:w="132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24% – 26%</w:t>
            </w: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126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24% – 26%</w:t>
            </w: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4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14% – 16%</w:t>
            </w: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4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N/A</w:t>
            </w:r>
          </w:p>
        </w:tc>
        <w:tc>
          <w:tcPr>
            <w:tcW w:w="0" w:type="dxa"/>
            <w:vAlign w:val="bottom"/>
          </w:tcPr>
          <w:p>
            <w:pPr>
              <w:spacing w:after="0"/>
              <w:rPr>
                <w:sz w:val="1"/>
                <w:szCs w:val="1"/>
                <w:color w:val="auto"/>
              </w:rPr>
            </w:pPr>
          </w:p>
        </w:tc>
      </w:tr>
      <w:tr>
        <w:trPr>
          <w:trHeight w:val="41"/>
        </w:trPr>
        <w:tc>
          <w:tcPr>
            <w:tcW w:w="4080" w:type="dxa"/>
            <w:vAlign w:val="bottom"/>
            <w:shd w:val="clear" w:color="auto" w:fill="EAEAEA"/>
          </w:tcPr>
          <w:p>
            <w:pPr>
              <w:spacing w:after="0"/>
              <w:rPr>
                <w:sz w:val="3"/>
                <w:szCs w:val="3"/>
                <w:color w:val="auto"/>
              </w:rPr>
            </w:pPr>
          </w:p>
        </w:tc>
        <w:tc>
          <w:tcPr>
            <w:tcW w:w="240" w:type="dxa"/>
            <w:vAlign w:val="bottom"/>
            <w:shd w:val="clear" w:color="auto" w:fill="EAEAEA"/>
          </w:tcPr>
          <w:p>
            <w:pPr>
              <w:spacing w:after="0"/>
              <w:rPr>
                <w:sz w:val="3"/>
                <w:szCs w:val="3"/>
                <w:color w:val="auto"/>
              </w:rPr>
            </w:pPr>
          </w:p>
        </w:tc>
        <w:tc>
          <w:tcPr>
            <w:tcW w:w="1060" w:type="dxa"/>
            <w:vAlign w:val="bottom"/>
            <w:shd w:val="clear" w:color="auto" w:fill="EAEAEA"/>
          </w:tcPr>
          <w:p>
            <w:pPr>
              <w:spacing w:after="0"/>
              <w:rPr>
                <w:sz w:val="3"/>
                <w:szCs w:val="3"/>
                <w:color w:val="auto"/>
              </w:rPr>
            </w:pPr>
          </w:p>
        </w:tc>
        <w:tc>
          <w:tcPr>
            <w:tcW w:w="26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140" w:type="dxa"/>
            <w:vAlign w:val="bottom"/>
            <w:shd w:val="clear" w:color="auto" w:fill="EAEAEA"/>
          </w:tcPr>
          <w:p>
            <w:pPr>
              <w:spacing w:after="0"/>
              <w:rPr>
                <w:sz w:val="3"/>
                <w:szCs w:val="3"/>
                <w:color w:val="auto"/>
              </w:rPr>
            </w:pPr>
          </w:p>
        </w:tc>
        <w:tc>
          <w:tcPr>
            <w:tcW w:w="300" w:type="dxa"/>
            <w:vAlign w:val="bottom"/>
            <w:shd w:val="clear" w:color="auto" w:fill="EAEAEA"/>
          </w:tcPr>
          <w:p>
            <w:pPr>
              <w:spacing w:after="0"/>
              <w:rPr>
                <w:sz w:val="3"/>
                <w:szCs w:val="3"/>
                <w:color w:val="auto"/>
              </w:rPr>
            </w:pPr>
          </w:p>
        </w:tc>
        <w:tc>
          <w:tcPr>
            <w:tcW w:w="940" w:type="dxa"/>
            <w:vAlign w:val="bottom"/>
            <w:shd w:val="clear" w:color="auto" w:fill="EAEAEA"/>
          </w:tcPr>
          <w:p>
            <w:pPr>
              <w:spacing w:after="0"/>
              <w:rPr>
                <w:sz w:val="3"/>
                <w:szCs w:val="3"/>
                <w:color w:val="auto"/>
              </w:rPr>
            </w:pPr>
          </w:p>
        </w:tc>
        <w:tc>
          <w:tcPr>
            <w:tcW w:w="32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132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128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20" w:hanging="360"/>
        <w:spacing w:after="0" w:line="279"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contract pricing in the coastal market are contingent on various factors including geographic location, vessel capacity, vessel type, and product serviced.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were no coastal marine transportation contracts scheduled for renewal in the 2025 fourth quarter.</w:t>
      </w:r>
    </w:p>
    <w:p>
      <w:pPr>
        <w:spacing w:after="0" w:line="200" w:lineRule="exact"/>
        <w:rPr>
          <w:sz w:val="20"/>
          <w:szCs w:val="20"/>
          <w:color w:val="auto"/>
        </w:rPr>
      </w:pPr>
    </w:p>
    <w:p>
      <w:pPr>
        <w:ind w:firstLine="359"/>
        <w:spacing w:after="0" w:line="278" w:lineRule="auto"/>
        <w:rPr>
          <w:sz w:val="20"/>
          <w:szCs w:val="20"/>
          <w:color w:val="auto"/>
        </w:rPr>
      </w:pPr>
      <w:r>
        <w:rPr>
          <w:rFonts w:ascii="Times New Roman" w:cs="Times New Roman" w:eastAsia="Times New Roman" w:hAnsi="Times New Roman"/>
          <w:sz w:val="20"/>
          <w:szCs w:val="20"/>
          <w:color w:val="auto"/>
        </w:rPr>
        <w:t xml:space="preserve">Effective January 1, 2025, annual escalators for labor and the producer price index on a number of inland multi-year contracts resulted in rate increases on those contracts </w:t>
      </w:r>
      <w:r>
        <w:rPr>
          <w:rFonts w:ascii="Times New Roman" w:cs="Times New Roman" w:eastAsia="Times New Roman" w:hAnsi="Times New Roman"/>
          <w:sz w:val="19"/>
          <w:szCs w:val="19"/>
          <w:color w:val="auto"/>
        </w:rPr>
        <w:t>in the 3% to 5% range</w:t>
      </w:r>
      <w:r>
        <w:rPr>
          <w:rFonts w:ascii="Times New Roman" w:cs="Times New Roman" w:eastAsia="Times New Roman" w:hAnsi="Times New Roman"/>
          <w:sz w:val="20"/>
          <w:szCs w:val="20"/>
          <w:color w:val="auto"/>
        </w:rPr>
        <w:t>, excluding fuel.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2025 marine transportation operating margin was 19.3% compared to 19.0% for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and Services</w:t>
      </w:r>
    </w:p>
    <w:p>
      <w:pPr>
        <w:spacing w:after="0" w:line="203"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The Company, through KDS, provides equipment, after-market parts and services for power generation systems in applications that include behind the meter power systems and emergency backup systems, after-market and genuine replacement parts and servic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 The Company sells and manufactures various products used in oil and gas and industrial applications, including those used in hydraulic fracturing and refrigeration systems that, as compared to conventional offerings, reduce emissions. These products made up approximately 20% of KDS’s revenues in 2025.</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During 2025, KDS generated 42% of the Company’s revenues, of which 83% was generated from service and parts and 17% from manufacturing. The results of KDS are largely influenced by cycles of the power generation, marine, on-highway, oilfield service industry and oil and gas operator and producer markets, and other industrial markets.</w:t>
      </w:r>
    </w:p>
    <w:p>
      <w:pPr>
        <w:spacing w:after="0" w:line="14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 xml:space="preserve">Distribution and services revenues for 2025 increased 6% compared to 2024 and operating income increased 20% compared to 2024. In the commercial and industrial market, revenues increased 5% in 2025 compared to 2024 primarily due to </w:t>
      </w:r>
      <w:r>
        <w:rPr>
          <w:rFonts w:ascii="Times New Roman" w:cs="Times New Roman" w:eastAsia="Times New Roman" w:hAnsi="Times New Roman"/>
          <w:sz w:val="19"/>
          <w:szCs w:val="19"/>
          <w:color w:val="auto"/>
        </w:rPr>
        <w:t>higher business</w:t>
      </w: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29" w:right="720" w:bottom="176" w:gutter="0" w:footer="0" w:header="0"/>
          <w:type w:val="continuous"/>
        </w:sectPr>
      </w:pPr>
    </w:p>
    <w:bookmarkStart w:id="48" w:name="page49"/>
    <w:bookmarkEnd w:id="48"/>
    <w:p>
      <w:pPr>
        <w:jc w:val="both"/>
        <w:ind w:firstLine="5"/>
        <w:spacing w:after="0" w:line="278" w:lineRule="auto"/>
        <w:rPr>
          <w:sz w:val="20"/>
          <w:szCs w:val="20"/>
          <w:color w:val="auto"/>
        </w:rPr>
      </w:pPr>
      <w:r>
        <w:rPr>
          <w:rFonts w:ascii="Times New Roman" w:cs="Times New Roman" w:eastAsia="Times New Roman" w:hAnsi="Times New Roman"/>
          <w:sz w:val="20"/>
          <w:szCs w:val="20"/>
          <w:color w:val="auto"/>
        </w:rPr>
        <w:t>levels in marine repair. For both 2025 and 2024, the commercial and industrial market contributed 46% of the distribution and services revenues</w:t>
      </w:r>
    </w:p>
    <w:p>
      <w:pPr>
        <w:spacing w:after="0" w:line="127"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20"/>
          <w:szCs w:val="20"/>
          <w:color w:val="auto"/>
        </w:rPr>
        <w:t xml:space="preserve">In the power generation market, revenues increased 26% compared to 2024 </w:t>
      </w:r>
      <w:r>
        <w:rPr>
          <w:rFonts w:ascii="Times New Roman" w:cs="Times New Roman" w:eastAsia="Times New Roman" w:hAnsi="Times New Roman"/>
          <w:sz w:val="19"/>
          <w:szCs w:val="19"/>
          <w:color w:val="auto"/>
        </w:rPr>
        <w:t>due to increased demand for backup, prime power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critical power applications. For </w:t>
      </w:r>
      <w:r>
        <w:rPr>
          <w:rFonts w:ascii="Times New Roman" w:cs="Times New Roman" w:eastAsia="Times New Roman" w:hAnsi="Times New Roman"/>
          <w:sz w:val="20"/>
          <w:szCs w:val="20"/>
          <w:color w:val="auto"/>
        </w:rPr>
        <w:t>2025 and 2024, the power generation market contributed 43% and 36%, respectively,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distribution and services revenues.</w:t>
      </w:r>
    </w:p>
    <w:p>
      <w:pPr>
        <w:spacing w:after="0" w:line="145" w:lineRule="exact"/>
        <w:rPr>
          <w:sz w:val="20"/>
          <w:szCs w:val="20"/>
          <w:color w:val="auto"/>
        </w:rPr>
      </w:pPr>
    </w:p>
    <w:p>
      <w:pPr>
        <w:jc w:val="both"/>
        <w:ind w:firstLine="365"/>
        <w:spacing w:after="0" w:line="259" w:lineRule="auto"/>
        <w:rPr>
          <w:sz w:val="20"/>
          <w:szCs w:val="20"/>
          <w:color w:val="auto"/>
        </w:rPr>
      </w:pPr>
      <w:r>
        <w:rPr>
          <w:rFonts w:ascii="Times New Roman" w:cs="Times New Roman" w:eastAsia="Times New Roman" w:hAnsi="Times New Roman"/>
          <w:sz w:val="20"/>
          <w:szCs w:val="20"/>
          <w:color w:val="auto"/>
        </w:rPr>
        <w:t>In the oil and gas market, revenues declined 32% compared to 2024 due to lower levels of conventional oilfield activity which resulted in decreased demand for new transmissions and parts, partially offset by deliveries of electric fracturing equipment. For 2025 and 2024, the oil and gas market contributed 11% and 18%, respectively, of the distribution and services revenues.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distribution and services operating margin for 2025 was 9.2% compared to 8.0% for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0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Overall, the Company expects to deliver improved financial results in 2026. In KMT, barge utilization and customer demand remain stable. In KDS, growth in the power generation market is expected to offset softness in oil and gas markets, and the continuing trucking recession impacting the on-highway service and repair business. The Company remains mindful of the ever-changing economic landscape related to the possible impact of high interest rates, tariffs, and possible recessionary headwinds as it move through 2026.</w:t>
      </w:r>
    </w:p>
    <w:p>
      <w:pPr>
        <w:spacing w:after="0" w:line="156" w:lineRule="exact"/>
        <w:rPr>
          <w:sz w:val="20"/>
          <w:szCs w:val="20"/>
          <w:color w:val="auto"/>
        </w:rPr>
      </w:pPr>
    </w:p>
    <w:p>
      <w:pPr>
        <w:jc w:val="both"/>
        <w:ind w:firstLine="365"/>
        <w:spacing w:after="0" w:line="250" w:lineRule="auto"/>
        <w:rPr>
          <w:sz w:val="20"/>
          <w:szCs w:val="20"/>
          <w:color w:val="auto"/>
        </w:rPr>
      </w:pPr>
      <w:r>
        <w:rPr>
          <w:rFonts w:ascii="Times New Roman" w:cs="Times New Roman" w:eastAsia="Times New Roman" w:hAnsi="Times New Roman"/>
          <w:sz w:val="20"/>
          <w:szCs w:val="20"/>
          <w:color w:val="auto"/>
        </w:rPr>
        <w:t>In 2026, the inland marine transportation market is expected to experience positive market dynamics due to limited new barge construction. The Company expects barge utilization rates to remain steady for the year with continued improvement in pricing as the year progresses. The Company also continues to see inflationary pressures and there remains an acute mariner shortage in the industry</w:t>
      </w:r>
    </w:p>
    <w:p>
      <w:pPr>
        <w:jc w:val="both"/>
        <w:ind w:firstLine="1"/>
        <w:spacing w:after="0"/>
        <w:rPr>
          <w:sz w:val="20"/>
          <w:szCs w:val="20"/>
          <w:color w:val="auto"/>
        </w:rPr>
      </w:pPr>
      <w:r>
        <w:rPr>
          <w:rFonts w:ascii="Times New Roman" w:cs="Times New Roman" w:eastAsia="Times New Roman" w:hAnsi="Times New Roman"/>
          <w:sz w:val="20"/>
          <w:szCs w:val="20"/>
          <w:color w:val="auto"/>
        </w:rPr>
        <w:t>which continues to drive up labor costs. These pressures, along with the increasing cost of equipment, should continue to put upward pressure on spot and term contract prices. The coastal marine transportation market is also expected to see very favorable market</w:t>
      </w:r>
    </w:p>
    <w:p>
      <w:pPr>
        <w:spacing w:after="0" w:line="20" w:lineRule="exact"/>
        <w:rPr>
          <w:sz w:val="20"/>
          <w:szCs w:val="20"/>
          <w:color w:val="auto"/>
        </w:rPr>
      </w:pPr>
    </w:p>
    <w:p>
      <w:pPr>
        <w:jc w:val="both"/>
        <w:ind w:firstLine="6"/>
        <w:spacing w:after="0" w:line="242" w:lineRule="auto"/>
        <w:rPr>
          <w:sz w:val="20"/>
          <w:szCs w:val="20"/>
          <w:color w:val="auto"/>
        </w:rPr>
      </w:pPr>
      <w:r>
        <w:rPr>
          <w:rFonts w:ascii="Times New Roman" w:cs="Times New Roman" w:eastAsia="Times New Roman" w:hAnsi="Times New Roman"/>
          <w:sz w:val="20"/>
          <w:szCs w:val="20"/>
          <w:color w:val="auto"/>
        </w:rPr>
        <w:t>conditions in 2026. The coastal marine transportation market should experience steady customer demand keeping barge utilization at high levels with improving rates as the availability of equipment remains limited across the industry. There are no coastal bar e currently under construction. The Company does expect more shipyard days in the coastal marine transportation market as compared to 2025.</w:t>
      </w:r>
    </w:p>
    <w:p>
      <w:pPr>
        <w:spacing w:after="0" w:line="16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expects stable growth in KDS in 2026 as near-term volatility from supply issues, customers deferring maintenance, and lower overall levels of activity in the oil and gas market are offset by increased orders in the power generation market. In commercial and industrial, the demand outlook in marine repair remains steady while on-highway service and repair remains soft but has shown some recent modest improvement. In power generation, the Company anticipates continued strong growth in orders as dat center demand and the need for backup power continues to be strong. In oil and gas, the Company expects revenues to be down as the transition from conventional diesel hydraulic fracturing to electric hydraulic fracturing continues to take place. The Company anticipates extended lead times and supply delays for certain original equipment manufacturer products to continue throughout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03"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United States generally accepted accounting principles requires management to make estimates and assumptions that affect the reported amounts of assets and liabilities at the date of the financial</w:t>
      </w:r>
    </w:p>
    <w:p>
      <w:pPr>
        <w:spacing w:after="0" w:line="20" w:lineRule="exact"/>
        <w:rPr>
          <w:sz w:val="20"/>
          <w:szCs w:val="20"/>
          <w:color w:val="auto"/>
        </w:rPr>
      </w:pPr>
    </w:p>
    <w:p>
      <w:pPr>
        <w:jc w:val="both"/>
        <w:ind w:firstLine="10"/>
        <w:spacing w:after="0"/>
        <w:rPr>
          <w:sz w:val="20"/>
          <w:szCs w:val="20"/>
          <w:color w:val="auto"/>
        </w:rPr>
      </w:pPr>
      <w:r>
        <w:rPr>
          <w:rFonts w:ascii="Times New Roman" w:cs="Times New Roman" w:eastAsia="Times New Roman" w:hAnsi="Times New Roman"/>
          <w:sz w:val="20"/>
          <w:szCs w:val="20"/>
          <w:color w:val="auto"/>
        </w:rPr>
        <w:t>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20" w:lineRule="exact"/>
        <w:rPr>
          <w:sz w:val="20"/>
          <w:szCs w:val="20"/>
          <w:color w:val="auto"/>
        </w:rPr>
      </w:pP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Property, Maintenance and Repairs. </w:t>
      </w:r>
      <w:r>
        <w:rPr>
          <w:rFonts w:ascii="Times New Roman" w:cs="Times New Roman" w:eastAsia="Times New Roman" w:hAnsi="Times New Roman"/>
          <w:sz w:val="20"/>
          <w:szCs w:val="20"/>
          <w:color w:val="auto"/>
        </w:rPr>
        <w:t>Property is recorded at cost; improvements and betterments are capitalized as incurred.</w:t>
      </w:r>
    </w:p>
    <w:p>
      <w:pPr>
        <w:spacing w:after="0" w:line="29" w:lineRule="exact"/>
        <w:rPr>
          <w:sz w:val="20"/>
          <w:szCs w:val="20"/>
          <w:color w:val="auto"/>
        </w:rPr>
      </w:pPr>
    </w:p>
    <w:p>
      <w:pPr>
        <w:jc w:val="both"/>
        <w:ind w:firstLine="3"/>
        <w:spacing w:after="0" w:line="241" w:lineRule="auto"/>
        <w:rPr>
          <w:sz w:val="20"/>
          <w:szCs w:val="20"/>
          <w:color w:val="auto"/>
        </w:rPr>
      </w:pPr>
      <w:r>
        <w:rPr>
          <w:rFonts w:ascii="Times New Roman" w:cs="Times New Roman" w:eastAsia="Times New Roman" w:hAnsi="Times New Roman"/>
          <w:sz w:val="20"/>
          <w:szCs w:val="20"/>
          <w:color w:val="auto"/>
        </w:rPr>
        <w:t>Depreciation is recorded using 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improves the operating capacity of the vessel, or replaces significant components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ccur twice in a five-year period. The Company defers the drydocking expenditures incurred on its ocean-going vessels due to regulatory marine inspections by the ABS and amortizes the costs of the shipyard over the period between drydockings, generally 30 or 60</w:t>
      </w:r>
    </w:p>
    <w:p>
      <w:pPr>
        <w:sectPr>
          <w:pgSz w:w="12240" w:h="15840" w:orient="portrait"/>
          <w:cols w:equalWidth="0" w:num="1">
            <w:col w:w="10800"/>
          </w:cols>
          <w:pgMar w:left="720" w:top="929" w:right="720" w:bottom="187"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10800"/>
          </w:cols>
          <w:pgMar w:left="720" w:top="929" w:right="720" w:bottom="187" w:gutter="0" w:footer="0" w:header="0"/>
          <w:type w:val="continuous"/>
        </w:sectPr>
      </w:pPr>
    </w:p>
    <w:bookmarkStart w:id="49" w:name="page50"/>
    <w:bookmarkEnd w:id="49"/>
    <w:p>
      <w:pPr>
        <w:jc w:val="both"/>
        <w:spacing w:after="0" w:line="259" w:lineRule="auto"/>
        <w:rPr>
          <w:sz w:val="20"/>
          <w:szCs w:val="20"/>
          <w:color w:val="auto"/>
        </w:rPr>
      </w:pPr>
      <w:r>
        <w:rPr>
          <w:rFonts w:ascii="Times New Roman" w:cs="Times New Roman" w:eastAsia="Times New Roman" w:hAnsi="Times New Roman"/>
          <w:sz w:val="20"/>
          <w:szCs w:val="20"/>
          <w:color w:val="auto"/>
        </w:rPr>
        <w:t>months, depending on the type of major maintenance performed. Drydocking expenditures that extend the life, improve the operatin capability of the vessel, or replace significant components of the vessel result in the costs being capitalized. Routine repairs and maintenance on ocean-going vessels are expensed as incurred. Interest is capitalized on the construction of new vessels.</w:t>
      </w:r>
    </w:p>
    <w:p>
      <w:pPr>
        <w:spacing w:after="0" w:line="14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performs an impairment assessment whenever events or changes in circumstances indicate that the carrying amount of long-lived assets may not be recoverable. If a triggering event is identified, the Company compares the carrying amount of</w:t>
      </w:r>
    </w:p>
    <w:p>
      <w:pPr>
        <w:spacing w:after="0" w:line="1" w:lineRule="exact"/>
        <w:rPr>
          <w:sz w:val="20"/>
          <w:szCs w:val="20"/>
          <w:color w:val="auto"/>
        </w:rPr>
      </w:pPr>
    </w:p>
    <w:p>
      <w:pPr>
        <w:jc w:val="both"/>
        <w:ind w:firstLine="2"/>
        <w:spacing w:after="0" w:line="238" w:lineRule="auto"/>
        <w:rPr>
          <w:sz w:val="20"/>
          <w:szCs w:val="20"/>
          <w:color w:val="auto"/>
        </w:rPr>
      </w:pPr>
      <w:r>
        <w:rPr>
          <w:rFonts w:ascii="Times New Roman" w:cs="Times New Roman" w:eastAsia="Times New Roman" w:hAnsi="Times New Roman"/>
          <w:sz w:val="20"/>
          <w:szCs w:val="20"/>
          <w:color w:val="auto"/>
        </w:rPr>
        <w:t>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 There are many assumptions and estimates underlying the determination of n impairment event or loss, if any. The assumptions and estimates include, but are not limited to, estimated fair market value of the</w:t>
      </w:r>
    </w:p>
    <w:p>
      <w:pPr>
        <w:spacing w:after="0" w:line="20" w:lineRule="exact"/>
        <w:rPr>
          <w:sz w:val="20"/>
          <w:szCs w:val="20"/>
          <w:color w:val="auto"/>
        </w:rPr>
      </w:pPr>
    </w:p>
    <w:p>
      <w:pPr>
        <w:jc w:val="both"/>
        <w:ind w:firstLine="7"/>
        <w:spacing w:after="0" w:line="244" w:lineRule="auto"/>
        <w:rPr>
          <w:sz w:val="20"/>
          <w:szCs w:val="20"/>
          <w:color w:val="auto"/>
        </w:rPr>
      </w:pPr>
      <w:r>
        <w:rPr>
          <w:rFonts w:ascii="Times New Roman" w:cs="Times New Roman" w:eastAsia="Times New Roman" w:hAnsi="Times New Roman"/>
          <w:sz w:val="20"/>
          <w:szCs w:val="20"/>
          <w:color w:val="auto"/>
        </w:rPr>
        <w:t>assets and estimated future cash flows expected to be generated by these assets, which are based on additional assumptions such a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The excess of the purchase price over the fair value of identifiable net assets acquired in transactions accounted for as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is included in goodwill. Management monitors the recoverability of goodwill on an annual basis, or whenever events or</w:t>
      </w:r>
    </w:p>
    <w:p>
      <w:pPr>
        <w:spacing w:after="0"/>
        <w:rPr>
          <w:sz w:val="20"/>
          <w:szCs w:val="20"/>
          <w:color w:val="auto"/>
        </w:rPr>
      </w:pPr>
      <w:r>
        <w:rPr>
          <w:rFonts w:ascii="Times New Roman" w:cs="Times New Roman" w:eastAsia="Times New Roman" w:hAnsi="Times New Roman"/>
          <w:sz w:val="20"/>
          <w:szCs w:val="20"/>
          <w:color w:val="auto"/>
        </w:rPr>
        <w:t>circumstances indicate that interim impairment testing is necessary. The amount of goodwill impairment, if any, is typically measured</w:t>
      </w:r>
    </w:p>
    <w:p>
      <w:pPr>
        <w:spacing w:after="0"/>
        <w:rPr>
          <w:sz w:val="20"/>
          <w:szCs w:val="20"/>
          <w:color w:val="auto"/>
        </w:rPr>
      </w:pPr>
      <w:r>
        <w:rPr>
          <w:rFonts w:ascii="Times New Roman" w:cs="Times New Roman" w:eastAsia="Times New Roman" w:hAnsi="Times New Roman"/>
          <w:sz w:val="20"/>
          <w:szCs w:val="20"/>
          <w:color w:val="auto"/>
        </w:rPr>
        <w:t>based on projected discounted future operating cash flows using an appropriate discount rate and valued based on the excess of</w:t>
      </w:r>
    </w:p>
    <w:p>
      <w:pPr>
        <w:spacing w:after="0"/>
        <w:rPr>
          <w:sz w:val="20"/>
          <w:szCs w:val="20"/>
          <w:color w:val="auto"/>
        </w:rPr>
      </w:pPr>
      <w:r>
        <w:rPr>
          <w:rFonts w:ascii="Times New Roman" w:cs="Times New Roman" w:eastAsia="Times New Roman" w:hAnsi="Times New Roman"/>
          <w:sz w:val="20"/>
          <w:szCs w:val="20"/>
          <w:color w:val="auto"/>
        </w:rPr>
        <w:t>reporting unit’s carrying amount over its fair value, incorporating all tax impacts caused by the recognition of the impairment l ss</w:t>
      </w:r>
    </w:p>
    <w:p>
      <w:pPr>
        <w:spacing w:after="0"/>
        <w:rPr>
          <w:sz w:val="20"/>
          <w:szCs w:val="20"/>
          <w:color w:val="auto"/>
        </w:rPr>
      </w:pPr>
      <w:r>
        <w:rPr>
          <w:rFonts w:ascii="Times New Roman" w:cs="Times New Roman" w:eastAsia="Times New Roman" w:hAnsi="Times New Roman"/>
          <w:sz w:val="20"/>
          <w:szCs w:val="20"/>
          <w:color w:val="auto"/>
        </w:rPr>
        <w:t>The assessment of the recoverability of goodwill will be impacted if estimated future operating cash flows are not achieved. There are</w:t>
      </w:r>
    </w:p>
    <w:p>
      <w:pPr>
        <w:spacing w:after="0"/>
        <w:rPr>
          <w:sz w:val="20"/>
          <w:szCs w:val="20"/>
          <w:color w:val="auto"/>
        </w:rPr>
      </w:pPr>
      <w:r>
        <w:rPr>
          <w:rFonts w:ascii="Times New Roman" w:cs="Times New Roman" w:eastAsia="Times New Roman" w:hAnsi="Times New Roman"/>
          <w:sz w:val="20"/>
          <w:szCs w:val="20"/>
          <w:color w:val="auto"/>
        </w:rPr>
        <w:t>many assumptions and estimates underlying the determination of an impairment event or loss, if any. Although the Company believ</w:t>
      </w:r>
    </w:p>
    <w:p>
      <w:pPr>
        <w:spacing w:after="0"/>
        <w:rPr>
          <w:sz w:val="20"/>
          <w:szCs w:val="20"/>
          <w:color w:val="auto"/>
        </w:rPr>
      </w:pPr>
      <w:r>
        <w:rPr>
          <w:rFonts w:ascii="Times New Roman" w:cs="Times New Roman" w:eastAsia="Times New Roman" w:hAnsi="Times New Roman"/>
          <w:sz w:val="20"/>
          <w:szCs w:val="20"/>
          <w:color w:val="auto"/>
        </w:rPr>
        <w:t>its assumptions and estimates are reasonable, deviations from the assumptions and estimates could produce a materially different</w:t>
      </w:r>
    </w:p>
    <w:p>
      <w:pPr>
        <w:spacing w:after="0"/>
        <w:rPr>
          <w:sz w:val="20"/>
          <w:szCs w:val="20"/>
          <w:color w:val="auto"/>
        </w:rPr>
      </w:pPr>
      <w:r>
        <w:rPr>
          <w:rFonts w:ascii="Times New Roman" w:cs="Times New Roman" w:eastAsia="Times New Roman" w:hAnsi="Times New Roman"/>
          <w:sz w:val="20"/>
          <w:szCs w:val="20"/>
          <w:color w:val="auto"/>
        </w:rPr>
        <w:t>result.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204" w:lineRule="exact"/>
        <w:rPr>
          <w:sz w:val="20"/>
          <w:szCs w:val="20"/>
          <w:color w:val="auto"/>
        </w:rPr>
      </w:pPr>
    </w:p>
    <w:p>
      <w:pPr>
        <w:jc w:val="both"/>
        <w:ind w:firstLine="358"/>
        <w:spacing w:after="0" w:line="258" w:lineRule="auto"/>
        <w:rPr>
          <w:sz w:val="20"/>
          <w:szCs w:val="20"/>
          <w:color w:val="auto"/>
        </w:rPr>
      </w:pPr>
      <w:r>
        <w:rPr>
          <w:rFonts w:ascii="Times New Roman" w:cs="Times New Roman" w:eastAsia="Times New Roman" w:hAnsi="Times New Roman"/>
          <w:sz w:val="20"/>
          <w:szCs w:val="20"/>
          <w:color w:val="auto"/>
        </w:rPr>
        <w:t>On October 14, 2025, the Company purchased certain assets from an undisclosed seller in support of the KDS segment for $9.3 million in cash. The assets consisted of inventory and an authorized distributorship for EMD Power Products (“EMD”) for certain geographic regions including Mexico, Central America, the northern part of South America and the Caribbean islands.</w:t>
      </w:r>
    </w:p>
    <w:p>
      <w:pPr>
        <w:spacing w:after="0" w:line="147"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20"/>
          <w:szCs w:val="20"/>
          <w:color w:val="auto"/>
        </w:rPr>
        <w:t>On August 7, 2025, the Company purchased two inland tank barges and one towboat from an undisclosed seller for $9.2 million in cash.</w:t>
      </w:r>
    </w:p>
    <w:p>
      <w:pPr>
        <w:spacing w:after="0" w:line="126" w:lineRule="exact"/>
        <w:rPr>
          <w:sz w:val="20"/>
          <w:szCs w:val="20"/>
          <w:color w:val="auto"/>
        </w:rPr>
      </w:pPr>
    </w:p>
    <w:p>
      <w:pPr>
        <w:jc w:val="both"/>
        <w:ind w:firstLine="357"/>
        <w:spacing w:after="0" w:line="252" w:lineRule="auto"/>
        <w:rPr>
          <w:sz w:val="20"/>
          <w:szCs w:val="20"/>
          <w:color w:val="auto"/>
        </w:rPr>
      </w:pPr>
      <w:r>
        <w:rPr>
          <w:rFonts w:ascii="Times New Roman" w:cs="Times New Roman" w:eastAsia="Times New Roman" w:hAnsi="Times New Roman"/>
          <w:sz w:val="20"/>
          <w:szCs w:val="20"/>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53" w:lineRule="exact"/>
        <w:rPr>
          <w:sz w:val="20"/>
          <w:szCs w:val="20"/>
          <w:color w:val="auto"/>
        </w:rPr>
      </w:pPr>
    </w:p>
    <w:p>
      <w:pPr>
        <w:jc w:val="both"/>
        <w:ind w:firstLine="353"/>
        <w:spacing w:after="0" w:line="279" w:lineRule="auto"/>
        <w:rPr>
          <w:sz w:val="20"/>
          <w:szCs w:val="20"/>
          <w:color w:val="auto"/>
        </w:rPr>
      </w:pPr>
      <w:r>
        <w:rPr>
          <w:rFonts w:ascii="Times New Roman" w:cs="Times New Roman" w:eastAsia="Times New Roman" w:hAnsi="Times New Roman"/>
          <w:sz w:val="20"/>
          <w:szCs w:val="20"/>
          <w:color w:val="auto"/>
        </w:rPr>
        <w:t>On December 31, 2024, the Company purchased an inland tank barge from a leasing company for $2.7 million in cash. The Company had been leasing the barge prior to purchase.</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December 30, 2024, the Company purchased three inland tank barges from an undisclosed seller for $9.9 million in cash.</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May 15, 2024, the Company completed the purchase of 13 inland tank barges, with a total capacity of 347,000 barrels, and</w:t>
      </w:r>
    </w:p>
    <w:p>
      <w:pPr>
        <w:spacing w:after="0" w:line="36" w:lineRule="exact"/>
        <w:rPr>
          <w:sz w:val="20"/>
          <w:szCs w:val="20"/>
          <w:color w:val="auto"/>
        </w:rPr>
      </w:pPr>
    </w:p>
    <w:p>
      <w:pPr>
        <w:jc w:val="both"/>
        <w:ind w:right="100" w:firstLine="2"/>
        <w:spacing w:after="0"/>
        <w:rPr>
          <w:sz w:val="20"/>
          <w:szCs w:val="20"/>
          <w:color w:val="auto"/>
        </w:rPr>
      </w:pPr>
      <w:r>
        <w:rPr>
          <w:rFonts w:ascii="Times New Roman" w:cs="Times New Roman" w:eastAsia="Times New Roman" w:hAnsi="Times New Roman"/>
          <w:sz w:val="20"/>
          <w:szCs w:val="20"/>
          <w:color w:val="auto"/>
        </w:rPr>
        <w:t>two high horsepower towboats from an undisclosed seller for $65.2 million in cash. The 13 tank barges, including three specialt barges, transport petrochemicals and refined products on the Mississippi River System and Gulf Intracoastal Waterway. The avera age of the 13 barges was 15 years.</w:t>
      </w:r>
    </w:p>
    <w:p>
      <w:pPr>
        <w:spacing w:after="0" w:line="20" w:lineRule="exact"/>
        <w:rPr>
          <w:sz w:val="20"/>
          <w:szCs w:val="20"/>
          <w:color w:val="auto"/>
        </w:rPr>
      </w:pPr>
    </w:p>
    <w:p>
      <w:pPr>
        <w:spacing w:after="0" w:line="144" w:lineRule="exact"/>
        <w:rPr>
          <w:sz w:val="20"/>
          <w:szCs w:val="20"/>
          <w:color w:val="auto"/>
        </w:rPr>
      </w:pPr>
    </w:p>
    <w:p>
      <w:pPr>
        <w:jc w:val="both"/>
        <w:ind w:firstLine="358"/>
        <w:spacing w:after="0" w:line="258" w:lineRule="auto"/>
        <w:rPr>
          <w:sz w:val="20"/>
          <w:szCs w:val="20"/>
          <w:color w:val="auto"/>
        </w:rPr>
      </w:pPr>
      <w:r>
        <w:rPr>
          <w:rFonts w:ascii="Times New Roman" w:cs="Times New Roman" w:eastAsia="Times New Roman" w:hAnsi="Times New Roman"/>
          <w:sz w:val="20"/>
          <w:szCs w:val="20"/>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purchased four inland tank barges from a leasing company for $0.5 million in cash during the 2023 third quarter.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been leasing the barges prior to the purchase.</w:t>
      </w:r>
    </w:p>
    <w:p>
      <w:pPr>
        <w:spacing w:after="0" w:line="17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Financing of these purchases and acquisitions was through borrowings under the Company’s Revolving Credit Facility and cash provided by operating activities.</w:t>
      </w:r>
    </w:p>
    <w:p>
      <w:pPr>
        <w:sectPr>
          <w:pgSz w:w="12240" w:h="15840" w:orient="portrait"/>
          <w:cols w:equalWidth="0" w:num="1">
            <w:col w:w="10800"/>
          </w:cols>
          <w:pgMar w:left="720" w:top="929" w:right="720"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2240" w:h="15840" w:orient="portrait"/>
          <w:cols w:equalWidth="0" w:num="1">
            <w:col w:w="10800"/>
          </w:cols>
          <w:pgMar w:left="720" w:top="929" w:right="720" w:bottom="199"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4"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Company’s marine transportation and distribution and services revenues and the percentage of each to total revenues for the comparable periods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780" w:type="dxa"/>
            <w:vAlign w:val="bottom"/>
            <w:gridSpan w:val="6"/>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3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top w:val="single" w:sz="8" w:color="EAEAEA"/>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Marine transportation</w:t>
            </w:r>
          </w:p>
        </w:tc>
        <w:tc>
          <w:tcPr>
            <w:tcW w:w="1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40" w:type="dxa"/>
            <w:vAlign w:val="bottom"/>
            <w:tcBorders>
              <w:top w:val="single" w:sz="8" w:color="auto"/>
              <w:bottom w:val="single" w:sz="8" w:color="EAEAEA"/>
            </w:tcBorders>
            <w:shd w:val="clear" w:color="auto" w:fill="EAEAEA"/>
          </w:tcPr>
          <w:p>
            <w:pPr>
              <w:spacing w:after="0"/>
              <w:rPr>
                <w:sz w:val="19"/>
                <w:szCs w:val="19"/>
                <w:color w:val="auto"/>
              </w:rPr>
            </w:pPr>
          </w:p>
        </w:tc>
        <w:tc>
          <w:tcPr>
            <w:tcW w:w="76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2"/>
                <w:shd w:val="clear" w:color="auto" w:fill="EAEAEA"/>
              </w:rPr>
              <w:t>1,935,305</w:t>
            </w: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740" w:type="dxa"/>
            <w:vAlign w:val="bottom"/>
            <w:tcBorders>
              <w:top w:val="single" w:sz="8" w:color="auto"/>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58</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1"/>
                <w:shd w:val="clear" w:color="auto" w:fill="EAEAEA"/>
              </w:rPr>
              <w:t>%</w:t>
            </w: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00" w:type="dxa"/>
            <w:vAlign w:val="bottom"/>
            <w:tcBorders>
              <w:top w:val="single" w:sz="8" w:color="auto"/>
              <w:bottom w:val="single" w:sz="8" w:color="EAEAEA"/>
            </w:tcBorders>
            <w:shd w:val="clear" w:color="auto" w:fill="EAEAEA"/>
          </w:tcPr>
          <w:p>
            <w:pPr>
              <w:spacing w:after="0"/>
              <w:rPr>
                <w:sz w:val="19"/>
                <w:szCs w:val="19"/>
                <w:color w:val="auto"/>
              </w:rPr>
            </w:pP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76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2"/>
                <w:shd w:val="clear" w:color="auto" w:fill="EAEAEA"/>
              </w:rPr>
              <w:t>1,913,050</w:t>
            </w: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720" w:type="dxa"/>
            <w:vAlign w:val="bottom"/>
            <w:tcBorders>
              <w:top w:val="single" w:sz="8" w:color="auto"/>
              <w:bottom w:val="single" w:sz="8" w:color="EAEAEA"/>
            </w:tcBorders>
            <w:shd w:val="clear" w:color="auto" w:fill="EAEAEA"/>
          </w:tcPr>
          <w:p>
            <w:pPr>
              <w:spacing w:after="0"/>
              <w:rPr>
                <w:sz w:val="19"/>
                <w:szCs w:val="19"/>
                <w:color w:val="auto"/>
              </w:rPr>
            </w:pPr>
          </w:p>
        </w:tc>
        <w:tc>
          <w:tcPr>
            <w:tcW w:w="3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59</w:t>
            </w:r>
          </w:p>
        </w:tc>
        <w:tc>
          <w:tcPr>
            <w:tcW w:w="16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top w:val="single" w:sz="8" w:color="EAEAEA"/>
              <w:bottom w:val="single" w:sz="8" w:color="EAEAEA"/>
            </w:tcBorders>
            <w:shd w:val="clear" w:color="auto" w:fill="EAEAEA"/>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40" w:type="dxa"/>
            <w:vAlign w:val="bottom"/>
            <w:tcBorders>
              <w:top w:val="single" w:sz="8" w:color="auto"/>
              <w:bottom w:val="single" w:sz="8" w:color="EAEAEA"/>
            </w:tcBorders>
            <w:shd w:val="clear" w:color="auto" w:fill="EAEAEA"/>
          </w:tcPr>
          <w:p>
            <w:pPr>
              <w:spacing w:after="0"/>
              <w:rPr>
                <w:sz w:val="19"/>
                <w:szCs w:val="19"/>
                <w:color w:val="auto"/>
              </w:rPr>
            </w:pPr>
          </w:p>
        </w:tc>
        <w:tc>
          <w:tcPr>
            <w:tcW w:w="76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2"/>
                <w:shd w:val="clear" w:color="auto" w:fill="EAEAEA"/>
              </w:rPr>
              <w:t>1,721,937</w:t>
            </w: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740" w:type="dxa"/>
            <w:vAlign w:val="bottom"/>
            <w:tcBorders>
              <w:top w:val="single" w:sz="8" w:color="auto"/>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56</w:t>
            </w:r>
          </w:p>
        </w:tc>
        <w:tc>
          <w:tcPr>
            <w:tcW w:w="16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top w:val="single" w:sz="8" w:color="EAEAEA"/>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Distribution and services</w:t>
            </w:r>
          </w:p>
        </w:tc>
        <w:tc>
          <w:tcPr>
            <w:tcW w:w="1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7"/>
              </w:rPr>
              <w:t>1,428,745</w:t>
            </w:r>
          </w:p>
        </w:tc>
        <w:tc>
          <w:tcPr>
            <w:tcW w:w="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7"/>
              </w:rPr>
              <w:t>1,352,826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7"/>
              </w:rPr>
              <w:t>1,369,703</w:t>
            </w:r>
          </w:p>
        </w:tc>
        <w:tc>
          <w:tcPr>
            <w:tcW w:w="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40" w:type="dxa"/>
            <w:vAlign w:val="bottom"/>
            <w:tcBorders>
              <w:bottom w:val="single" w:sz="8" w:color="EAEAEA"/>
            </w:tcBorders>
            <w:gridSpan w:val="3"/>
            <w:shd w:val="clear" w:color="auto" w:fill="EAEAEA"/>
          </w:tcPr>
          <w:p>
            <w:pPr>
              <w:jc w:val="right"/>
              <w:ind w:right="20"/>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3,364,050</w:t>
            </w:r>
          </w:p>
        </w:tc>
        <w:tc>
          <w:tcPr>
            <w:tcW w:w="10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74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100</w:t>
            </w:r>
          </w:p>
        </w:tc>
        <w:tc>
          <w:tcPr>
            <w:tcW w:w="20" w:type="dxa"/>
            <w:vAlign w:val="bottom"/>
          </w:tcPr>
          <w:p>
            <w:pPr>
              <w:spacing w:after="0"/>
              <w:rPr>
                <w:sz w:val="19"/>
                <w:szCs w:val="19"/>
                <w:color w:val="auto"/>
              </w:rPr>
            </w:pPr>
          </w:p>
        </w:tc>
        <w:tc>
          <w:tcPr>
            <w:tcW w:w="2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1"/>
                <w:shd w:val="clear" w:color="auto" w:fill="EAEAEA"/>
              </w:rPr>
              <w:t>%</w:t>
            </w: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97"/>
                <w:shd w:val="clear" w:color="auto" w:fill="EAEAEA"/>
              </w:rPr>
              <w:t>3,265,876</w:t>
            </w:r>
          </w:p>
        </w:tc>
        <w:tc>
          <w:tcPr>
            <w:tcW w:w="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72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6"/>
              </w:rPr>
              <w:t>100</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3,091,640</w:t>
            </w:r>
          </w:p>
        </w:tc>
        <w:tc>
          <w:tcPr>
            <w:tcW w:w="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74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100</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-659765</wp:posOffset>
            </wp:positionV>
            <wp:extent cx="499173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a:extLst>
                        <a:ext uri="{28A0092B-C50C-407E-A947-70E740481C1C}"/>
                      </a:extLst>
                    </a:blip>
                    <a:srcRect/>
                    <a:stretch>
                      <a:fillRect/>
                    </a:stretch>
                  </pic:blipFill>
                  <pic:spPr bwMode="auto">
                    <a:xfrm>
                      <a:off x="0" y="0"/>
                      <a:ext cx="4991735" cy="3492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-524510</wp:posOffset>
            </wp:positionV>
            <wp:extent cx="73914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4">
                      <a:extLst>
                        <a:ext uri="{28A0092B-C50C-407E-A947-70E740481C1C}"/>
                      </a:extLst>
                    </a:blip>
                    <a:srcRect/>
                    <a:stretch>
                      <a:fillRect/>
                    </a:stretch>
                  </pic:blipFill>
                  <pic:spPr bwMode="auto">
                    <a:xfrm>
                      <a:off x="0" y="0"/>
                      <a:ext cx="739140" cy="3492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-205105</wp:posOffset>
            </wp:positionV>
            <wp:extent cx="73914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a:extLst>
                        <a:ext uri="{28A0092B-C50C-407E-A947-70E740481C1C}"/>
                      </a:extLst>
                    </a:blip>
                    <a:srcRect/>
                    <a:stretch>
                      <a:fillRect/>
                    </a:stretch>
                  </pic:blipFill>
                  <pic:spPr bwMode="auto">
                    <a:xfrm>
                      <a:off x="0" y="0"/>
                      <a:ext cx="739140" cy="3492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Marine Transportation</w:t>
      </w:r>
    </w:p>
    <w:p>
      <w:pPr>
        <w:spacing w:after="0" w:line="204"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color w:val="auto"/>
        </w:rPr>
        <w:t>The following table sets forth a year over year comparison of KMT’s revenues, costs and expenses, operating income and operating margins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80" w:type="dxa"/>
            <w:vAlign w:val="bottom"/>
            <w:gridSpan w:val="11"/>
          </w:tcPr>
          <w:p>
            <w:pP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120" w:type="dxa"/>
            <w:vAlign w:val="bottom"/>
            <w:vMerge w:val="continue"/>
          </w:tcPr>
          <w:p>
            <w:pPr>
              <w:spacing w:after="0"/>
              <w:rPr>
                <w:sz w:val="12"/>
                <w:szCs w:val="12"/>
                <w:color w:val="auto"/>
              </w:rPr>
            </w:pPr>
          </w:p>
        </w:tc>
        <w:tc>
          <w:tcPr>
            <w:tcW w:w="86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000" w:type="dxa"/>
            <w:vAlign w:val="bottom"/>
            <w:tcBorders>
              <w:bottom w:val="single" w:sz="8" w:color="EAEAEA"/>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EAEAEA"/>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6"/>
              </w:rPr>
              <w:t>% Change</w:t>
            </w:r>
          </w:p>
        </w:tc>
        <w:tc>
          <w:tcPr>
            <w:tcW w:w="1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EAEAEA"/>
            </w:tcBorders>
          </w:tcPr>
          <w:p>
            <w:pPr>
              <w:spacing w:after="0"/>
              <w:rPr>
                <w:sz w:val="12"/>
                <w:szCs w:val="12"/>
                <w:color w:val="auto"/>
              </w:rPr>
            </w:pPr>
          </w:p>
        </w:tc>
        <w:tc>
          <w:tcPr>
            <w:tcW w:w="4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EAEAEA"/>
            </w:tcBorders>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gridSpan w:val="2"/>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3"/>
              </w:rPr>
              <w:t>% Change</w:t>
            </w:r>
          </w:p>
        </w:tc>
        <w:tc>
          <w:tcPr>
            <w:tcW w:w="1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EAEAEA"/>
            </w:tcBorders>
            <w:vMerge w:val="continue"/>
          </w:tcPr>
          <w:p>
            <w:pPr>
              <w:spacing w:after="0"/>
              <w:rPr>
                <w:sz w:val="12"/>
                <w:szCs w:val="12"/>
                <w:color w:val="auto"/>
              </w:rPr>
            </w:pPr>
          </w:p>
        </w:tc>
        <w:tc>
          <w:tcPr>
            <w:tcW w:w="60" w:type="dxa"/>
            <w:vAlign w:val="bottom"/>
            <w:tcBorders>
              <w:bottom w:val="single" w:sz="8" w:color="EAEAE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EAEAEA"/>
            </w:tcBorders>
            <w:shd w:val="clear" w:color="auto" w:fill="EAEAEA"/>
          </w:tcPr>
          <w:p>
            <w:pPr>
              <w:spacing w:after="0" w:line="196" w:lineRule="exact"/>
              <w:rPr>
                <w:sz w:val="20"/>
                <w:szCs w:val="20"/>
                <w:color w:val="auto"/>
              </w:rPr>
            </w:pPr>
            <w:r>
              <w:rPr>
                <w:rFonts w:ascii="Times New Roman" w:cs="Times New Roman" w:eastAsia="Times New Roman" w:hAnsi="Times New Roman"/>
                <w:sz w:val="20"/>
                <w:szCs w:val="20"/>
                <w:color w:val="auto"/>
                <w:shd w:val="clear" w:color="auto" w:fill="EAEAEA"/>
              </w:rPr>
              <w:t>Marine transportation revenues</w:t>
            </w:r>
          </w:p>
        </w:tc>
        <w:tc>
          <w:tcPr>
            <w:tcW w:w="160" w:type="dxa"/>
            <w:vAlign w:val="bottom"/>
            <w:tcBorders>
              <w:bottom w:val="single" w:sz="8" w:color="EAEAEA"/>
            </w:tcBorders>
            <w:shd w:val="clear" w:color="auto" w:fill="EAEAEA"/>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8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jc w:val="right"/>
              <w:spacing w:after="0" w:line="196" w:lineRule="exact"/>
              <w:rPr>
                <w:sz w:val="20"/>
                <w:szCs w:val="20"/>
                <w:color w:val="auto"/>
              </w:rPr>
            </w:pPr>
            <w:r>
              <w:rPr>
                <w:rFonts w:ascii="Times New Roman" w:cs="Times New Roman" w:eastAsia="Times New Roman" w:hAnsi="Times New Roman"/>
                <w:sz w:val="20"/>
                <w:szCs w:val="20"/>
                <w:color w:val="auto"/>
                <w:w w:val="92"/>
                <w:shd w:val="clear" w:color="auto" w:fill="EAEAEA"/>
              </w:rPr>
              <w:t>1,935,305</w:t>
            </w:r>
          </w:p>
        </w:tc>
        <w:tc>
          <w:tcPr>
            <w:tcW w:w="40" w:type="dxa"/>
            <w:vAlign w:val="bottom"/>
            <w:tcBorders>
              <w:left w:val="single" w:sz="8" w:color="EAEAEA"/>
            </w:tcBorders>
          </w:tcPr>
          <w:p>
            <w:pPr>
              <w:spacing w:after="0"/>
              <w:rPr>
                <w:sz w:val="20"/>
                <w:szCs w:val="20"/>
                <w:color w:val="auto"/>
              </w:rPr>
            </w:pPr>
          </w:p>
        </w:tc>
        <w:tc>
          <w:tcPr>
            <w:tcW w:w="32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40" w:type="dxa"/>
            <w:vAlign w:val="bottom"/>
            <w:tcBorders>
              <w:bottom w:val="single" w:sz="8" w:color="EAEAEA"/>
            </w:tcBorders>
            <w:shd w:val="clear" w:color="auto" w:fill="EAEAEA"/>
          </w:tcPr>
          <w:p>
            <w:pPr>
              <w:jc w:val="right"/>
              <w:spacing w:after="0" w:line="196" w:lineRule="exact"/>
              <w:rPr>
                <w:sz w:val="20"/>
                <w:szCs w:val="20"/>
                <w:color w:val="auto"/>
              </w:rPr>
            </w:pPr>
            <w:r>
              <w:rPr>
                <w:rFonts w:ascii="Times New Roman" w:cs="Times New Roman" w:eastAsia="Times New Roman" w:hAnsi="Times New Roman"/>
                <w:sz w:val="20"/>
                <w:szCs w:val="20"/>
                <w:color w:val="auto"/>
                <w:shd w:val="clear" w:color="auto" w:fill="EAEAEA"/>
              </w:rPr>
              <w:t>1,913,050</w:t>
            </w:r>
          </w:p>
        </w:tc>
        <w:tc>
          <w:tcPr>
            <w:tcW w:w="2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900" w:type="dxa"/>
            <w:vAlign w:val="bottom"/>
            <w:tcBorders>
              <w:bottom w:val="single" w:sz="8" w:color="EAEAEA"/>
            </w:tcBorders>
            <w:gridSpan w:val="2"/>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jc w:val="center"/>
              <w:spacing w:after="0"/>
              <w:rPr>
                <w:sz w:val="20"/>
                <w:szCs w:val="20"/>
                <w:color w:val="auto"/>
              </w:rPr>
            </w:pPr>
            <w:r>
              <w:rPr>
                <w:rFonts w:ascii="Times New Roman" w:cs="Times New Roman" w:eastAsia="Times New Roman" w:hAnsi="Times New Roman"/>
                <w:sz w:val="17"/>
                <w:szCs w:val="17"/>
                <w:color w:val="auto"/>
                <w:w w:val="70"/>
              </w:rPr>
              <w:t>1</w:t>
            </w:r>
          </w:p>
        </w:tc>
        <w:tc>
          <w:tcPr>
            <w:tcW w:w="4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jc w:val="right"/>
              <w:spacing w:after="0" w:line="196"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4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0" w:type="dxa"/>
            <w:vAlign w:val="bottom"/>
            <w:tcBorders>
              <w:bottom w:val="single" w:sz="8" w:color="EAEAEA"/>
            </w:tcBorders>
            <w:shd w:val="clear" w:color="auto" w:fill="EAEAEA"/>
          </w:tcPr>
          <w:p>
            <w:pPr>
              <w:spacing w:after="0"/>
              <w:rPr>
                <w:sz w:val="20"/>
                <w:szCs w:val="20"/>
                <w:color w:val="auto"/>
              </w:rPr>
            </w:pPr>
          </w:p>
        </w:tc>
        <w:tc>
          <w:tcPr>
            <w:tcW w:w="760" w:type="dxa"/>
            <w:vAlign w:val="bottom"/>
            <w:tcBorders>
              <w:bottom w:val="single" w:sz="8" w:color="EAEAEA"/>
            </w:tcBorders>
            <w:shd w:val="clear" w:color="auto" w:fill="EAEAEA"/>
          </w:tcPr>
          <w:p>
            <w:pPr>
              <w:jc w:val="right"/>
              <w:spacing w:after="0" w:line="196" w:lineRule="exact"/>
              <w:rPr>
                <w:sz w:val="20"/>
                <w:szCs w:val="20"/>
                <w:color w:val="auto"/>
              </w:rPr>
            </w:pPr>
            <w:r>
              <w:rPr>
                <w:rFonts w:ascii="Times New Roman" w:cs="Times New Roman" w:eastAsia="Times New Roman" w:hAnsi="Times New Roman"/>
                <w:sz w:val="20"/>
                <w:szCs w:val="20"/>
                <w:color w:val="auto"/>
                <w:w w:val="92"/>
                <w:shd w:val="clear" w:color="auto" w:fill="EAEAEA"/>
              </w:rPr>
              <w:t>1,721,937</w:t>
            </w:r>
          </w:p>
        </w:tc>
        <w:tc>
          <w:tcPr>
            <w:tcW w:w="2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spacing w:after="0"/>
              <w:rPr>
                <w:sz w:val="20"/>
                <w:szCs w:val="20"/>
                <w:color w:val="auto"/>
              </w:rPr>
            </w:pPr>
          </w:p>
        </w:tc>
        <w:tc>
          <w:tcPr>
            <w:tcW w:w="860" w:type="dxa"/>
            <w:vAlign w:val="bottom"/>
            <w:tcBorders>
              <w:bottom w:val="single" w:sz="8" w:color="EAEAEA"/>
            </w:tcBorders>
            <w:gridSpan w:val="2"/>
            <w:shd w:val="clear" w:color="auto" w:fill="EAEAEA"/>
          </w:tcPr>
          <w:p>
            <w:pPr>
              <w:spacing w:after="0"/>
              <w:rPr>
                <w:sz w:val="20"/>
                <w:szCs w:val="20"/>
                <w:color w:val="auto"/>
              </w:rPr>
            </w:pPr>
          </w:p>
        </w:tc>
        <w:tc>
          <w:tcPr>
            <w:tcW w:w="200" w:type="dxa"/>
            <w:vAlign w:val="bottom"/>
            <w:tcBorders>
              <w:bottom w:val="single" w:sz="8" w:color="EAEAEA"/>
            </w:tcBorders>
            <w:gridSpan w:val="2"/>
            <w:shd w:val="clear" w:color="auto" w:fill="EAEAEA"/>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shd w:val="clear" w:color="auto" w:fill="EAEAEA"/>
              </w:rPr>
              <w:t>11</w:t>
            </w:r>
          </w:p>
        </w:tc>
        <w:tc>
          <w:tcPr>
            <w:tcW w:w="160" w:type="dxa"/>
            <w:vAlign w:val="bottom"/>
            <w:tcBorders>
              <w:bottom w:val="single" w:sz="8" w:color="EAEAEA"/>
            </w:tcBorders>
            <w:shd w:val="clear" w:color="auto" w:fill="EAEAEA"/>
          </w:tcPr>
          <w:p>
            <w:pPr>
              <w:jc w:val="right"/>
              <w:spacing w:after="0" w:line="196"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Costs and expenses:</w:t>
            </w:r>
          </w:p>
        </w:tc>
        <w:tc>
          <w:tcPr>
            <w:tcW w:w="1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780" w:type="dxa"/>
            <w:vAlign w:val="bottom"/>
            <w:shd w:val="clear" w:color="auto" w:fill="EAEAEA"/>
          </w:tcPr>
          <w:p>
            <w:pPr>
              <w:spacing w:after="0"/>
              <w:rPr>
                <w:sz w:val="21"/>
                <w:szCs w:val="21"/>
                <w:color w:val="auto"/>
              </w:rPr>
            </w:pPr>
          </w:p>
        </w:tc>
        <w:tc>
          <w:tcPr>
            <w:tcW w:w="40" w:type="dxa"/>
            <w:vAlign w:val="bottom"/>
            <w:tcBorders>
              <w:left w:val="single" w:sz="8" w:color="EAEAEA"/>
            </w:tcBorders>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9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7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68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 of sales and operating expenses</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1,175,628</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1,188,794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1,136,526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0" w:type="dxa"/>
            <w:vAlign w:val="bottom"/>
            <w:tcBorders>
              <w:bottom w:val="single" w:sz="8" w:color="EAEAEA"/>
            </w:tcBorders>
            <w:shd w:val="clear" w:color="auto" w:fill="EAEAEA"/>
          </w:tcPr>
          <w:p>
            <w:pPr>
              <w:ind w:left="220"/>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Selling, general and administrative</w:t>
            </w:r>
          </w:p>
        </w:tc>
        <w:tc>
          <w:tcPr>
            <w:tcW w:w="16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144,563</w:t>
            </w:r>
          </w:p>
        </w:tc>
        <w:tc>
          <w:tcPr>
            <w:tcW w:w="40" w:type="dxa"/>
            <w:vAlign w:val="bottom"/>
            <w:tcBorders>
              <w:left w:val="single" w:sz="8" w:color="EAEAEA"/>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940" w:type="dxa"/>
            <w:vAlign w:val="bottom"/>
            <w:tcBorders>
              <w:bottom w:val="single" w:sz="8" w:color="EAEAEA"/>
            </w:tcBorders>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137,057</w:t>
            </w:r>
          </w:p>
        </w:tc>
        <w:tc>
          <w:tcPr>
            <w:tcW w:w="2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00" w:type="dxa"/>
            <w:vAlign w:val="bottom"/>
            <w:tcBorders>
              <w:bottom w:val="single" w:sz="8" w:color="EAEAEA"/>
            </w:tcBorders>
            <w:gridSpan w:val="2"/>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jc w:val="center"/>
              <w:spacing w:after="0" w:line="201" w:lineRule="exact"/>
              <w:rPr>
                <w:sz w:val="20"/>
                <w:szCs w:val="20"/>
                <w:color w:val="auto"/>
              </w:rPr>
            </w:pPr>
            <w:r>
              <w:rPr>
                <w:rFonts w:ascii="Times New Roman" w:cs="Times New Roman" w:eastAsia="Times New Roman" w:hAnsi="Times New Roman"/>
                <w:sz w:val="20"/>
                <w:szCs w:val="20"/>
                <w:color w:val="auto"/>
                <w:w w:val="79"/>
                <w:shd w:val="clear" w:color="auto" w:fill="EAEAEA"/>
              </w:rPr>
              <w:t>5</w:t>
            </w:r>
          </w:p>
        </w:tc>
        <w:tc>
          <w:tcPr>
            <w:tcW w:w="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134,641</w:t>
            </w:r>
          </w:p>
        </w:tc>
        <w:tc>
          <w:tcPr>
            <w:tcW w:w="2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860" w:type="dxa"/>
            <w:vAlign w:val="bottom"/>
            <w:tcBorders>
              <w:bottom w:val="single" w:sz="8" w:color="EAEAEA"/>
            </w:tcBorders>
            <w:gridSpan w:val="2"/>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2</w:t>
            </w: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Taxes, other than on income</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26,749</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26,476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jc w:val="center"/>
              <w:ind w:left="840"/>
              <w:spacing w:after="0"/>
              <w:rPr>
                <w:sz w:val="20"/>
                <w:szCs w:val="20"/>
                <w:color w:val="auto"/>
              </w:rPr>
            </w:pPr>
            <w:r>
              <w:rPr>
                <w:rFonts w:ascii="Times New Roman" w:cs="Times New Roman" w:eastAsia="Times New Roman" w:hAnsi="Times New Roman"/>
                <w:sz w:val="20"/>
                <w:szCs w:val="20"/>
                <w:color w:val="auto"/>
                <w:w w:val="99"/>
              </w:rPr>
              <w:t>1</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27,602</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EAEAEA"/>
            </w:tcBorders>
            <w:shd w:val="clear" w:color="auto" w:fill="EAEAEA"/>
          </w:tcPr>
          <w:p>
            <w:pPr>
              <w:ind w:left="20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Depreciation and amortization</w:t>
            </w:r>
          </w:p>
        </w:tc>
        <w:tc>
          <w:tcPr>
            <w:tcW w:w="16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213,907</w:t>
            </w:r>
          </w:p>
        </w:tc>
        <w:tc>
          <w:tcPr>
            <w:tcW w:w="40" w:type="dxa"/>
            <w:vAlign w:val="bottom"/>
            <w:tcBorders>
              <w:left w:val="single" w:sz="8" w:color="EAEAEA"/>
              <w:bottom w:val="single" w:sz="8" w:color="EAEAEA"/>
            </w:tcBorders>
            <w:shd w:val="clear" w:color="auto" w:fill="EAEAEA"/>
          </w:tcPr>
          <w:p>
            <w:pPr>
              <w:spacing w:after="0"/>
              <w:rPr>
                <w:sz w:val="21"/>
                <w:szCs w:val="21"/>
                <w:color w:val="auto"/>
              </w:rPr>
            </w:pPr>
          </w:p>
        </w:tc>
        <w:tc>
          <w:tcPr>
            <w:tcW w:w="32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94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197,347</w:t>
            </w:r>
          </w:p>
        </w:tc>
        <w:tc>
          <w:tcPr>
            <w:tcW w:w="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2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EAEAEA"/>
            </w:tcBorders>
            <w:shd w:val="clear" w:color="auto" w:fill="EAEAEA"/>
          </w:tcPr>
          <w:p>
            <w:pPr>
              <w:jc w:val="center"/>
              <w:spacing w:after="0" w:line="203" w:lineRule="exact"/>
              <w:rPr>
                <w:sz w:val="20"/>
                <w:szCs w:val="20"/>
                <w:color w:val="auto"/>
              </w:rPr>
            </w:pPr>
            <w:r>
              <w:rPr>
                <w:rFonts w:ascii="Times New Roman" w:cs="Times New Roman" w:eastAsia="Times New Roman" w:hAnsi="Times New Roman"/>
                <w:sz w:val="20"/>
                <w:szCs w:val="20"/>
                <w:color w:val="auto"/>
                <w:w w:val="79"/>
                <w:shd w:val="clear" w:color="auto" w:fill="EAEAEA"/>
              </w:rPr>
              <w:t>8</w:t>
            </w:r>
          </w:p>
        </w:tc>
        <w:tc>
          <w:tcPr>
            <w:tcW w:w="4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7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184,225</w:t>
            </w:r>
          </w:p>
        </w:tc>
        <w:tc>
          <w:tcPr>
            <w:tcW w:w="20" w:type="dxa"/>
            <w:vAlign w:val="bottom"/>
            <w:tcBorders>
              <w:bottom w:val="single" w:sz="8" w:color="EAEAEA"/>
            </w:tcBorders>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spacing w:after="0"/>
              <w:rPr>
                <w:sz w:val="21"/>
                <w:szCs w:val="21"/>
                <w:color w:val="auto"/>
              </w:rPr>
            </w:pPr>
          </w:p>
        </w:tc>
        <w:tc>
          <w:tcPr>
            <w:tcW w:w="860" w:type="dxa"/>
            <w:vAlign w:val="bottom"/>
            <w:tcBorders>
              <w:bottom w:val="single" w:sz="8" w:color="EAEAEA"/>
            </w:tcBorders>
            <w:gridSpan w:val="2"/>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7</w:t>
            </w:r>
          </w:p>
        </w:tc>
        <w:tc>
          <w:tcPr>
            <w:tcW w:w="16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40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vMerge w:val="restart"/>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vMerge w:val="restart"/>
          </w:tcPr>
          <w:p>
            <w:pPr>
              <w:jc w:val="right"/>
              <w:spacing w:after="0" w:line="229" w:lineRule="exact"/>
              <w:rPr>
                <w:sz w:val="20"/>
                <w:szCs w:val="20"/>
                <w:color w:val="auto"/>
              </w:rPr>
            </w:pPr>
            <w:r>
              <w:rPr>
                <w:rFonts w:ascii="Times New Roman" w:cs="Times New Roman" w:eastAsia="Times New Roman" w:hAnsi="Times New Roman"/>
                <w:sz w:val="20"/>
                <w:szCs w:val="20"/>
                <w:color w:val="auto"/>
              </w:rPr>
              <w:t>1,549,674</w:t>
            </w: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4"/>
            <w:vMerge w:val="restart"/>
          </w:tcPr>
          <w:p>
            <w:pPr>
              <w:jc w:val="center"/>
              <w:ind w:left="840"/>
              <w:spacing w:after="0" w:line="229" w:lineRule="exact"/>
              <w:rPr>
                <w:sz w:val="20"/>
                <w:szCs w:val="20"/>
                <w:color w:val="auto"/>
              </w:rPr>
            </w:pPr>
            <w:r>
              <w:rPr>
                <w:rFonts w:ascii="Times New Roman" w:cs="Times New Roman" w:eastAsia="Times New Roman" w:hAnsi="Times New Roman"/>
                <w:sz w:val="20"/>
                <w:szCs w:val="20"/>
                <w:color w:val="auto"/>
                <w:w w:val="99"/>
              </w:rPr>
              <w:t>1</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vMerge w:val="restart"/>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vMerge w:val="restart"/>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gridSpan w:val="4"/>
            <w:vMerge w:val="restart"/>
          </w:tcPr>
          <w:p>
            <w:pPr>
              <w:jc w:val="right"/>
              <w:spacing w:after="0" w:line="229" w:lineRule="exact"/>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9"/>
              </w:rPr>
              <w:t>1,560,847</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7"/>
              </w:rPr>
              <w:t>1,482,994</w:t>
            </w:r>
          </w:p>
        </w:tc>
        <w:tc>
          <w:tcPr>
            <w:tcW w:w="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72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68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tcBorders>
              <w:bottom w:val="single" w:sz="8" w:color="EAEAEA"/>
            </w:tcBorders>
            <w:shd w:val="clear" w:color="auto" w:fill="EAEAEA"/>
          </w:tcPr>
          <w:p>
            <w:pPr>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Operating income</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8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374,458</w:t>
            </w:r>
          </w:p>
        </w:tc>
        <w:tc>
          <w:tcPr>
            <w:tcW w:w="40" w:type="dxa"/>
            <w:vAlign w:val="bottom"/>
            <w:tcBorders>
              <w:left w:val="single" w:sz="8" w:color="EAEAEA"/>
            </w:tcBorders>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4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363,376</w:t>
            </w:r>
          </w:p>
        </w:tc>
        <w:tc>
          <w:tcPr>
            <w:tcW w:w="2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00" w:type="dxa"/>
            <w:vAlign w:val="bottom"/>
            <w:tcBorders>
              <w:bottom w:val="single" w:sz="8" w:color="EAEAEA"/>
            </w:tcBorders>
            <w:gridSpan w:val="2"/>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jc w:val="center"/>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3</w:t>
            </w:r>
          </w:p>
        </w:tc>
        <w:tc>
          <w:tcPr>
            <w:tcW w:w="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gridSpan w:val="2"/>
            <w:shd w:val="clear" w:color="auto" w:fill="EAEAEA"/>
          </w:tcPr>
          <w:p>
            <w:pPr>
              <w:jc w:val="right"/>
              <w:ind w:right="60"/>
              <w:spacing w:after="0" w:line="188"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238,943</w:t>
            </w:r>
          </w:p>
        </w:tc>
        <w:tc>
          <w:tcPr>
            <w:tcW w:w="2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860" w:type="dxa"/>
            <w:vAlign w:val="bottom"/>
            <w:tcBorders>
              <w:bottom w:val="single" w:sz="8" w:color="EAEAEA"/>
            </w:tcBorders>
            <w:gridSpan w:val="2"/>
            <w:shd w:val="clear" w:color="auto" w:fill="EAEAEA"/>
          </w:tcPr>
          <w:p>
            <w:pPr>
              <w:spacing w:after="0"/>
              <w:rPr>
                <w:sz w:val="19"/>
                <w:szCs w:val="19"/>
                <w:color w:val="auto"/>
              </w:rPr>
            </w:pPr>
          </w:p>
        </w:tc>
        <w:tc>
          <w:tcPr>
            <w:tcW w:w="20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52</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margins</w:t>
            </w: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19.3</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1"/>
              </w:rPr>
              <w:t>%</w:t>
            </w: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0" w:type="dxa"/>
            <w:vAlign w:val="bottom"/>
            <w:tcBorders>
              <w:top w:val="single" w:sz="8" w:color="auto"/>
            </w:tcBorders>
          </w:tcPr>
          <w:p>
            <w:pPr>
              <w:spacing w:after="0"/>
              <w:rPr>
                <w:sz w:val="19"/>
                <w:szCs w:val="19"/>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83"/>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-1791970</wp:posOffset>
            </wp:positionV>
            <wp:extent cx="420624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6">
                      <a:extLst>
                        <a:ext uri="{28A0092B-C50C-407E-A947-70E740481C1C}"/>
                      </a:extLst>
                    </a:blip>
                    <a:srcRect/>
                    <a:stretch>
                      <a:fillRect/>
                    </a:stretch>
                  </pic:blipFill>
                  <pic:spPr bwMode="auto">
                    <a:xfrm>
                      <a:off x="0" y="0"/>
                      <a:ext cx="4206240" cy="3492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-1647190</wp:posOffset>
            </wp:positionV>
            <wp:extent cx="6788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7">
                      <a:extLst>
                        <a:ext uri="{28A0092B-C50C-407E-A947-70E740481C1C}"/>
                      </a:extLst>
                    </a:blip>
                    <a:srcRect/>
                    <a:stretch>
                      <a:fillRect/>
                    </a:stretch>
                  </pic:blipFill>
                  <pic:spPr bwMode="auto">
                    <a:xfrm>
                      <a:off x="0" y="0"/>
                      <a:ext cx="678815" cy="2540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-1482725</wp:posOffset>
            </wp:positionV>
            <wp:extent cx="6788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8">
                      <a:extLst>
                        <a:ext uri="{28A0092B-C50C-407E-A947-70E740481C1C}"/>
                      </a:extLst>
                    </a:blip>
                    <a:srcRect/>
                    <a:stretch>
                      <a:fillRect/>
                    </a:stretch>
                  </pic:blipFill>
                  <pic:spPr bwMode="auto">
                    <a:xfrm>
                      <a:off x="0" y="0"/>
                      <a:ext cx="678815" cy="254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-553085</wp:posOffset>
            </wp:positionV>
            <wp:extent cx="155003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9">
                      <a:extLst>
                        <a:ext uri="{28A0092B-C50C-407E-A947-70E740481C1C}"/>
                      </a:extLst>
                    </a:blip>
                    <a:srcRect/>
                    <a:stretch>
                      <a:fillRect/>
                    </a:stretch>
                  </pic:blipFill>
                  <pic:spPr bwMode="auto">
                    <a:xfrm>
                      <a:off x="0" y="0"/>
                      <a:ext cx="1550035" cy="3492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-543560</wp:posOffset>
            </wp:positionV>
            <wp:extent cx="6788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0">
                      <a:extLst>
                        <a:ext uri="{28A0092B-C50C-407E-A947-70E740481C1C}"/>
                      </a:extLst>
                    </a:blip>
                    <a:srcRect/>
                    <a:stretch>
                      <a:fillRect/>
                    </a:stretch>
                  </pic:blipFill>
                  <pic:spPr bwMode="auto">
                    <a:xfrm>
                      <a:off x="0" y="0"/>
                      <a:ext cx="678815" cy="2540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-379095</wp:posOffset>
            </wp:positionV>
            <wp:extent cx="6788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a:extLst>
                        <a:ext uri="{28A0092B-C50C-407E-A947-70E740481C1C}"/>
                      </a:extLst>
                    </a:blip>
                    <a:srcRect/>
                    <a:stretch>
                      <a:fillRect/>
                    </a:stretch>
                  </pic:blipFill>
                  <pic:spPr bwMode="auto">
                    <a:xfrm>
                      <a:off x="0" y="0"/>
                      <a:ext cx="678815" cy="254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-195580</wp:posOffset>
            </wp:positionV>
            <wp:extent cx="5981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ext uri="{28A0092B-C50C-407E-A947-70E740481C1C}"/>
                      </a:extLst>
                    </a:blip>
                    <a:srcRect/>
                    <a:stretch>
                      <a:fillRect/>
                    </a:stretch>
                  </pic:blipFill>
                  <pic:spPr bwMode="auto">
                    <a:xfrm>
                      <a:off x="0" y="0"/>
                      <a:ext cx="598170" cy="25400"/>
                    </a:xfrm>
                    <a:prstGeom prst="rect">
                      <a:avLst/>
                    </a:prstGeom>
                    <a:noFill/>
                  </pic:spPr>
                </pic:pic>
              </a:graphicData>
            </a:graphic>
          </wp:anchor>
        </w:drawing>
      </w:r>
    </w:p>
    <w:p>
      <w:pPr>
        <w:spacing w:after="0" w:line="19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shows the marine transportation markets serviced by the Company, the marine transportation revenue distribution, products moved and the drivers of the demand for the products the Company transports: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 Revenue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70" w:type="dxa"/>
            <w:vAlign w:val="bottom"/>
          </w:tcPr>
          <w:p>
            <w:pPr>
              <w:spacing w:after="0"/>
              <w:rPr>
                <w:sz w:val="16"/>
                <w:szCs w:val="16"/>
                <w:color w:val="auto"/>
              </w:rPr>
            </w:pPr>
          </w:p>
        </w:tc>
        <w:tc>
          <w:tcPr>
            <w:tcW w:w="1610" w:type="dxa"/>
            <w:vAlign w:val="bottom"/>
          </w:tcPr>
          <w:p>
            <w:pPr>
              <w:spacing w:after="0"/>
              <w:rPr>
                <w:sz w:val="16"/>
                <w:szCs w:val="16"/>
                <w:color w:val="auto"/>
              </w:rPr>
            </w:pPr>
          </w:p>
        </w:tc>
      </w:tr>
      <w:tr>
        <w:trPr>
          <w:trHeight w:val="203"/>
        </w:trPr>
        <w:tc>
          <w:tcPr>
            <w:tcW w:w="24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Markets Serviced</w:t>
            </w:r>
          </w:p>
        </w:tc>
        <w:tc>
          <w:tcPr>
            <w:tcW w:w="140" w:type="dxa"/>
            <w:vAlign w:val="bottom"/>
            <w:tcBorders>
              <w:bottom w:val="single" w:sz="8" w:color="EAEAEA"/>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140" w:type="dxa"/>
            <w:vAlign w:val="bottom"/>
            <w:tcBorders>
              <w:bottom w:val="single" w:sz="8" w:color="EAEAEA"/>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Products Moved</w:t>
            </w:r>
          </w:p>
        </w:tc>
        <w:tc>
          <w:tcPr>
            <w:tcW w:w="140" w:type="dxa"/>
            <w:vAlign w:val="bottom"/>
            <w:tcBorders>
              <w:bottom w:val="single" w:sz="8" w:color="EAEAEA"/>
            </w:tcBorders>
          </w:tcPr>
          <w:p>
            <w:pPr>
              <w:spacing w:after="0"/>
              <w:rPr>
                <w:sz w:val="17"/>
                <w:szCs w:val="17"/>
                <w:color w:val="auto"/>
              </w:rPr>
            </w:pPr>
          </w:p>
        </w:tc>
        <w:tc>
          <w:tcPr>
            <w:tcW w:w="318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6"/>
                <w:szCs w:val="16"/>
                <w:b w:val="1"/>
                <w:bCs w:val="1"/>
                <w:color w:val="auto"/>
              </w:rPr>
              <w:t>Drivers</w:t>
            </w:r>
          </w:p>
        </w:tc>
      </w:tr>
      <w:tr>
        <w:trPr>
          <w:trHeight w:val="184"/>
        </w:trPr>
        <w:tc>
          <w:tcPr>
            <w:tcW w:w="2400" w:type="dxa"/>
            <w:vAlign w:val="bottom"/>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Petrochemicals</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center"/>
              <w:spacing w:after="0" w:line="184" w:lineRule="exact"/>
              <w:rPr>
                <w:sz w:val="20"/>
                <w:szCs w:val="20"/>
                <w:color w:val="auto"/>
              </w:rPr>
            </w:pPr>
            <w:r>
              <w:rPr>
                <w:rFonts w:ascii="Times New Roman" w:cs="Times New Roman" w:eastAsia="Times New Roman" w:hAnsi="Times New Roman"/>
                <w:sz w:val="20"/>
                <w:szCs w:val="20"/>
                <w:color w:val="auto"/>
                <w:w w:val="92"/>
                <w:shd w:val="clear" w:color="auto" w:fill="EAEAEA"/>
              </w:rPr>
              <w:t>48%</w:t>
            </w:r>
          </w:p>
        </w:tc>
        <w:tc>
          <w:tcPr>
            <w:tcW w:w="140" w:type="dxa"/>
            <w:vAlign w:val="bottom"/>
            <w:shd w:val="clear" w:color="auto" w:fill="EAEAEA"/>
          </w:tcPr>
          <w:p>
            <w:pPr>
              <w:spacing w:after="0"/>
              <w:rPr>
                <w:sz w:val="16"/>
                <w:szCs w:val="16"/>
                <w:color w:val="auto"/>
              </w:rPr>
            </w:pPr>
          </w:p>
        </w:tc>
        <w:tc>
          <w:tcPr>
            <w:tcW w:w="3580" w:type="dxa"/>
            <w:vAlign w:val="bottom"/>
            <w:gridSpan w:val="2"/>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Benzene, Styrene, Methanol, Acrylonitrile,</w:t>
            </w:r>
          </w:p>
        </w:tc>
        <w:tc>
          <w:tcPr>
            <w:tcW w:w="140" w:type="dxa"/>
            <w:vAlign w:val="bottom"/>
            <w:shd w:val="clear" w:color="auto" w:fill="EAEAEA"/>
          </w:tcPr>
          <w:p>
            <w:pPr>
              <w:spacing w:after="0"/>
              <w:rPr>
                <w:sz w:val="16"/>
                <w:szCs w:val="16"/>
                <w:color w:val="auto"/>
              </w:rPr>
            </w:pPr>
          </w:p>
        </w:tc>
        <w:tc>
          <w:tcPr>
            <w:tcW w:w="3180" w:type="dxa"/>
            <w:vAlign w:val="bottom"/>
            <w:gridSpan w:val="2"/>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Consumer non-durables — 70%</w:t>
            </w:r>
          </w:p>
        </w:tc>
      </w:tr>
      <w:tr>
        <w:trPr>
          <w:trHeight w:val="230"/>
        </w:trPr>
        <w:tc>
          <w:tcPr>
            <w:tcW w:w="24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22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58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Xylene, Naphtha, Caustic Soda, Butadiene,</w:t>
            </w:r>
          </w:p>
        </w:tc>
        <w:tc>
          <w:tcPr>
            <w:tcW w:w="140" w:type="dxa"/>
            <w:vAlign w:val="bottom"/>
            <w:shd w:val="clear" w:color="auto" w:fill="EAEAEA"/>
          </w:tcPr>
          <w:p>
            <w:pPr>
              <w:spacing w:after="0"/>
              <w:rPr>
                <w:sz w:val="20"/>
                <w:szCs w:val="20"/>
                <w:color w:val="auto"/>
              </w:rPr>
            </w:pPr>
          </w:p>
        </w:tc>
        <w:tc>
          <w:tcPr>
            <w:tcW w:w="157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Consumer durables</w:t>
            </w:r>
          </w:p>
        </w:tc>
        <w:tc>
          <w:tcPr>
            <w:tcW w:w="1610" w:type="dxa"/>
            <w:vAlign w:val="bottom"/>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 30%</w:t>
            </w:r>
          </w:p>
        </w:tc>
      </w:tr>
      <w:tr>
        <w:trPr>
          <w:trHeight w:val="270"/>
        </w:trPr>
        <w:tc>
          <w:tcPr>
            <w:tcW w:w="2400" w:type="dxa"/>
            <w:vAlign w:val="bottom"/>
            <w:shd w:val="clear" w:color="auto" w:fill="EAEAEA"/>
          </w:tcPr>
          <w:p>
            <w:pPr>
              <w:spacing w:after="0"/>
              <w:rPr>
                <w:sz w:val="23"/>
                <w:szCs w:val="23"/>
                <w:color w:val="auto"/>
              </w:rPr>
            </w:pPr>
          </w:p>
        </w:tc>
        <w:tc>
          <w:tcPr>
            <w:tcW w:w="140" w:type="dxa"/>
            <w:vAlign w:val="bottom"/>
            <w:shd w:val="clear" w:color="auto" w:fill="EAEAEA"/>
          </w:tcPr>
          <w:p>
            <w:pPr>
              <w:spacing w:after="0"/>
              <w:rPr>
                <w:sz w:val="23"/>
                <w:szCs w:val="23"/>
                <w:color w:val="auto"/>
              </w:rPr>
            </w:pPr>
          </w:p>
        </w:tc>
        <w:tc>
          <w:tcPr>
            <w:tcW w:w="1220" w:type="dxa"/>
            <w:vAlign w:val="bottom"/>
            <w:shd w:val="clear" w:color="auto" w:fill="EAEAEA"/>
          </w:tcPr>
          <w:p>
            <w:pPr>
              <w:spacing w:after="0"/>
              <w:rPr>
                <w:sz w:val="23"/>
                <w:szCs w:val="23"/>
                <w:color w:val="auto"/>
              </w:rPr>
            </w:pPr>
          </w:p>
        </w:tc>
        <w:tc>
          <w:tcPr>
            <w:tcW w:w="140" w:type="dxa"/>
            <w:vAlign w:val="bottom"/>
            <w:shd w:val="clear" w:color="auto" w:fill="EAEAEA"/>
          </w:tcPr>
          <w:p>
            <w:pPr>
              <w:spacing w:after="0"/>
              <w:rPr>
                <w:sz w:val="23"/>
                <w:szCs w:val="23"/>
                <w:color w:val="auto"/>
              </w:rPr>
            </w:pPr>
          </w:p>
        </w:tc>
        <w:tc>
          <w:tcPr>
            <w:tcW w:w="8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w w:val="96"/>
                <w:shd w:val="clear" w:color="auto" w:fill="EAEAEA"/>
              </w:rPr>
              <w:t>Propylene</w:t>
            </w:r>
          </w:p>
        </w:tc>
        <w:tc>
          <w:tcPr>
            <w:tcW w:w="2780" w:type="dxa"/>
            <w:vAlign w:val="bottom"/>
            <w:shd w:val="clear" w:color="auto" w:fill="EAEAEA"/>
          </w:tcPr>
          <w:p>
            <w:pPr>
              <w:spacing w:after="0"/>
              <w:rPr>
                <w:sz w:val="23"/>
                <w:szCs w:val="23"/>
                <w:color w:val="auto"/>
              </w:rPr>
            </w:pPr>
          </w:p>
        </w:tc>
        <w:tc>
          <w:tcPr>
            <w:tcW w:w="140" w:type="dxa"/>
            <w:vAlign w:val="bottom"/>
            <w:shd w:val="clear" w:color="auto" w:fill="EAEAEA"/>
          </w:tcPr>
          <w:p>
            <w:pPr>
              <w:spacing w:after="0"/>
              <w:rPr>
                <w:sz w:val="23"/>
                <w:szCs w:val="23"/>
                <w:color w:val="auto"/>
              </w:rPr>
            </w:pPr>
          </w:p>
        </w:tc>
        <w:tc>
          <w:tcPr>
            <w:tcW w:w="1570" w:type="dxa"/>
            <w:vAlign w:val="bottom"/>
            <w:shd w:val="clear" w:color="auto" w:fill="EAEAEA"/>
          </w:tcPr>
          <w:p>
            <w:pPr>
              <w:spacing w:after="0"/>
              <w:rPr>
                <w:sz w:val="23"/>
                <w:szCs w:val="23"/>
                <w:color w:val="auto"/>
              </w:rPr>
            </w:pPr>
          </w:p>
        </w:tc>
        <w:tc>
          <w:tcPr>
            <w:tcW w:w="1610" w:type="dxa"/>
            <w:vAlign w:val="bottom"/>
            <w:shd w:val="clear" w:color="auto" w:fill="EAEAEA"/>
          </w:tcPr>
          <w:p>
            <w:pPr>
              <w:spacing w:after="0"/>
              <w:rPr>
                <w:sz w:val="23"/>
                <w:szCs w:val="23"/>
                <w:color w:val="auto"/>
              </w:rPr>
            </w:pPr>
          </w:p>
        </w:tc>
      </w:tr>
      <w:tr>
        <w:trPr>
          <w:trHeight w:val="210"/>
        </w:trPr>
        <w:tc>
          <w:tcPr>
            <w:tcW w:w="2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Black Oil</w:t>
            </w:r>
          </w:p>
        </w:tc>
        <w:tc>
          <w:tcPr>
            <w:tcW w:w="140" w:type="dxa"/>
            <w:vAlign w:val="bottom"/>
          </w:tcPr>
          <w:p>
            <w:pPr>
              <w:spacing w:after="0"/>
              <w:rPr>
                <w:sz w:val="18"/>
                <w:szCs w:val="18"/>
                <w:color w:val="auto"/>
              </w:rPr>
            </w:pPr>
          </w:p>
        </w:tc>
        <w:tc>
          <w:tcPr>
            <w:tcW w:w="12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26%</w:t>
            </w:r>
          </w:p>
        </w:tc>
        <w:tc>
          <w:tcPr>
            <w:tcW w:w="140" w:type="dxa"/>
            <w:vAlign w:val="bottom"/>
          </w:tcPr>
          <w:p>
            <w:pPr>
              <w:spacing w:after="0"/>
              <w:rPr>
                <w:sz w:val="18"/>
                <w:szCs w:val="18"/>
                <w:color w:val="auto"/>
              </w:rPr>
            </w:pPr>
          </w:p>
        </w:tc>
        <w:tc>
          <w:tcPr>
            <w:tcW w:w="35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Residual Fuel Oil, Coker Feedstock,</w:t>
            </w:r>
          </w:p>
        </w:tc>
        <w:tc>
          <w:tcPr>
            <w:tcW w:w="140" w:type="dxa"/>
            <w:vAlign w:val="bottom"/>
          </w:tcPr>
          <w:p>
            <w:pPr>
              <w:spacing w:after="0"/>
              <w:rPr>
                <w:sz w:val="18"/>
                <w:szCs w:val="18"/>
                <w:color w:val="auto"/>
              </w:rPr>
            </w:pPr>
          </w:p>
        </w:tc>
        <w:tc>
          <w:tcPr>
            <w:tcW w:w="31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Fuel for Power Plants and Ships,</w:t>
            </w:r>
          </w:p>
        </w:tc>
      </w:tr>
      <w:tr>
        <w:trPr>
          <w:trHeight w:val="230"/>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Vacuum Gas Oil, Asphalt, Carbon Black</w:t>
            </w:r>
          </w:p>
        </w:tc>
        <w:tc>
          <w:tcPr>
            <w:tcW w:w="1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Feedstock for Refineries, Road</w:t>
            </w:r>
          </w:p>
        </w:tc>
      </w:tr>
      <w:tr>
        <w:trPr>
          <w:trHeight w:val="230"/>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Feedstock, Crude Oil, Natural Gas</w:t>
            </w:r>
          </w:p>
        </w:tc>
        <w:tc>
          <w:tcPr>
            <w:tcW w:w="1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Construction</w:t>
            </w:r>
          </w:p>
        </w:tc>
      </w:tr>
      <w:tr>
        <w:trPr>
          <w:trHeight w:val="250"/>
        </w:trPr>
        <w:tc>
          <w:tcPr>
            <w:tcW w:w="2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Condensate, Ship Bunkers</w:t>
            </w:r>
          </w:p>
        </w:tc>
        <w:tc>
          <w:tcPr>
            <w:tcW w:w="140" w:type="dxa"/>
            <w:vAlign w:val="bottom"/>
          </w:tcPr>
          <w:p>
            <w:pPr>
              <w:spacing w:after="0"/>
              <w:rPr>
                <w:sz w:val="21"/>
                <w:szCs w:val="21"/>
                <w:color w:val="auto"/>
              </w:rPr>
            </w:pPr>
          </w:p>
        </w:tc>
        <w:tc>
          <w:tcPr>
            <w:tcW w:w="1570" w:type="dxa"/>
            <w:vAlign w:val="bottom"/>
          </w:tcPr>
          <w:p>
            <w:pPr>
              <w:spacing w:after="0"/>
              <w:rPr>
                <w:sz w:val="21"/>
                <w:szCs w:val="21"/>
                <w:color w:val="auto"/>
              </w:rPr>
            </w:pPr>
          </w:p>
        </w:tc>
        <w:tc>
          <w:tcPr>
            <w:tcW w:w="1610" w:type="dxa"/>
            <w:vAlign w:val="bottom"/>
          </w:tcPr>
          <w:p>
            <w:pPr>
              <w:spacing w:after="0"/>
              <w:rPr>
                <w:sz w:val="21"/>
                <w:szCs w:val="21"/>
                <w:color w:val="auto"/>
              </w:rPr>
            </w:pPr>
          </w:p>
        </w:tc>
      </w:tr>
      <w:tr>
        <w:trPr>
          <w:trHeight w:val="189"/>
        </w:trPr>
        <w:tc>
          <w:tcPr>
            <w:tcW w:w="2400" w:type="dxa"/>
            <w:vAlign w:val="bottom"/>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Refined Petroleum Products</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center"/>
              <w:spacing w:after="0" w:line="189" w:lineRule="exact"/>
              <w:rPr>
                <w:sz w:val="20"/>
                <w:szCs w:val="20"/>
                <w:color w:val="auto"/>
              </w:rPr>
            </w:pPr>
            <w:r>
              <w:rPr>
                <w:rFonts w:ascii="Times New Roman" w:cs="Times New Roman" w:eastAsia="Times New Roman" w:hAnsi="Times New Roman"/>
                <w:sz w:val="20"/>
                <w:szCs w:val="20"/>
                <w:color w:val="auto"/>
                <w:w w:val="92"/>
                <w:shd w:val="clear" w:color="auto" w:fill="EAEAEA"/>
              </w:rPr>
              <w:t>23%</w:t>
            </w:r>
          </w:p>
        </w:tc>
        <w:tc>
          <w:tcPr>
            <w:tcW w:w="140" w:type="dxa"/>
            <w:vAlign w:val="bottom"/>
            <w:shd w:val="clear" w:color="auto" w:fill="EAEAEA"/>
          </w:tcPr>
          <w:p>
            <w:pPr>
              <w:spacing w:after="0"/>
              <w:rPr>
                <w:sz w:val="16"/>
                <w:szCs w:val="16"/>
                <w:color w:val="auto"/>
              </w:rPr>
            </w:pPr>
          </w:p>
        </w:tc>
        <w:tc>
          <w:tcPr>
            <w:tcW w:w="3580" w:type="dxa"/>
            <w:vAlign w:val="bottom"/>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Gasoline, No. 2 Oil, Jet Fuel, Heating Oil,</w:t>
            </w:r>
          </w:p>
        </w:tc>
        <w:tc>
          <w:tcPr>
            <w:tcW w:w="140" w:type="dxa"/>
            <w:vAlign w:val="bottom"/>
            <w:shd w:val="clear" w:color="auto" w:fill="EAEAEA"/>
          </w:tcPr>
          <w:p>
            <w:pPr>
              <w:spacing w:after="0"/>
              <w:rPr>
                <w:sz w:val="16"/>
                <w:szCs w:val="16"/>
                <w:color w:val="auto"/>
              </w:rPr>
            </w:pPr>
          </w:p>
        </w:tc>
        <w:tc>
          <w:tcPr>
            <w:tcW w:w="3180" w:type="dxa"/>
            <w:vAlign w:val="bottom"/>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Vehicle Usage, Air Travel, Weather</w:t>
            </w:r>
          </w:p>
        </w:tc>
      </w:tr>
      <w:tr>
        <w:trPr>
          <w:trHeight w:val="271"/>
        </w:trPr>
        <w:tc>
          <w:tcPr>
            <w:tcW w:w="2400" w:type="dxa"/>
            <w:vAlign w:val="bottom"/>
            <w:shd w:val="clear" w:color="auto" w:fill="EAEAEA"/>
          </w:tcPr>
          <w:p>
            <w:pPr>
              <w:spacing w:after="0"/>
              <w:rPr>
                <w:sz w:val="23"/>
                <w:szCs w:val="23"/>
                <w:color w:val="auto"/>
              </w:rPr>
            </w:pPr>
          </w:p>
        </w:tc>
        <w:tc>
          <w:tcPr>
            <w:tcW w:w="140" w:type="dxa"/>
            <w:vAlign w:val="bottom"/>
            <w:shd w:val="clear" w:color="auto" w:fill="EAEAEA"/>
          </w:tcPr>
          <w:p>
            <w:pPr>
              <w:spacing w:after="0"/>
              <w:rPr>
                <w:sz w:val="23"/>
                <w:szCs w:val="23"/>
                <w:color w:val="auto"/>
              </w:rPr>
            </w:pPr>
          </w:p>
        </w:tc>
        <w:tc>
          <w:tcPr>
            <w:tcW w:w="1220" w:type="dxa"/>
            <w:vAlign w:val="bottom"/>
            <w:shd w:val="clear" w:color="auto" w:fill="EAEAEA"/>
          </w:tcPr>
          <w:p>
            <w:pPr>
              <w:spacing w:after="0"/>
              <w:rPr>
                <w:sz w:val="23"/>
                <w:szCs w:val="23"/>
                <w:color w:val="auto"/>
              </w:rPr>
            </w:pPr>
          </w:p>
        </w:tc>
        <w:tc>
          <w:tcPr>
            <w:tcW w:w="140" w:type="dxa"/>
            <w:vAlign w:val="bottom"/>
            <w:shd w:val="clear" w:color="auto" w:fill="EAEAEA"/>
          </w:tcPr>
          <w:p>
            <w:pPr>
              <w:spacing w:after="0"/>
              <w:rPr>
                <w:sz w:val="23"/>
                <w:szCs w:val="23"/>
                <w:color w:val="auto"/>
              </w:rPr>
            </w:pPr>
          </w:p>
        </w:tc>
        <w:tc>
          <w:tcPr>
            <w:tcW w:w="358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Diesel Fuel, Ethanol</w:t>
            </w:r>
          </w:p>
        </w:tc>
        <w:tc>
          <w:tcPr>
            <w:tcW w:w="140" w:type="dxa"/>
            <w:vAlign w:val="bottom"/>
            <w:shd w:val="clear" w:color="auto" w:fill="EAEAEA"/>
          </w:tcPr>
          <w:p>
            <w:pPr>
              <w:spacing w:after="0"/>
              <w:rPr>
                <w:sz w:val="23"/>
                <w:szCs w:val="23"/>
                <w:color w:val="auto"/>
              </w:rPr>
            </w:pPr>
          </w:p>
        </w:tc>
        <w:tc>
          <w:tcPr>
            <w:tcW w:w="318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Conditions, Refinery Utilization</w:t>
            </w:r>
          </w:p>
        </w:tc>
      </w:tr>
      <w:tr>
        <w:trPr>
          <w:trHeight w:val="210"/>
        </w:trPr>
        <w:tc>
          <w:tcPr>
            <w:tcW w:w="2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Agricultural Chemicals</w:t>
            </w:r>
          </w:p>
        </w:tc>
        <w:tc>
          <w:tcPr>
            <w:tcW w:w="1360" w:type="dxa"/>
            <w:vAlign w:val="bottom"/>
            <w:gridSpan w:val="2"/>
          </w:tcPr>
          <w:p>
            <w:pPr>
              <w:jc w:val="center"/>
              <w:ind w:left="40"/>
              <w:spacing w:after="0" w:line="209" w:lineRule="exact"/>
              <w:rPr>
                <w:sz w:val="20"/>
                <w:szCs w:val="20"/>
                <w:color w:val="auto"/>
              </w:rPr>
            </w:pPr>
            <w:r>
              <w:rPr>
                <w:rFonts w:ascii="Times New Roman" w:cs="Times New Roman" w:eastAsia="Times New Roman" w:hAnsi="Times New Roman"/>
                <w:sz w:val="20"/>
                <w:szCs w:val="20"/>
                <w:color w:val="auto"/>
                <w:w w:val="97"/>
              </w:rPr>
              <w:t>3%</w:t>
            </w:r>
          </w:p>
        </w:tc>
        <w:tc>
          <w:tcPr>
            <w:tcW w:w="140" w:type="dxa"/>
            <w:vAlign w:val="bottom"/>
          </w:tcPr>
          <w:p>
            <w:pPr>
              <w:spacing w:after="0"/>
              <w:rPr>
                <w:sz w:val="18"/>
                <w:szCs w:val="18"/>
                <w:color w:val="auto"/>
              </w:rPr>
            </w:pPr>
          </w:p>
        </w:tc>
        <w:tc>
          <w:tcPr>
            <w:tcW w:w="35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Anhydrous Ammonia, Nitrogen-Based</w:t>
            </w:r>
          </w:p>
        </w:tc>
        <w:tc>
          <w:tcPr>
            <w:tcW w:w="140" w:type="dxa"/>
            <w:vAlign w:val="bottom"/>
          </w:tcPr>
          <w:p>
            <w:pPr>
              <w:spacing w:after="0"/>
              <w:rPr>
                <w:sz w:val="18"/>
                <w:szCs w:val="18"/>
                <w:color w:val="auto"/>
              </w:rPr>
            </w:pPr>
          </w:p>
        </w:tc>
        <w:tc>
          <w:tcPr>
            <w:tcW w:w="31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Corn, Cotton and Wheat Production,</w:t>
            </w:r>
          </w:p>
        </w:tc>
      </w:tr>
      <w:tr>
        <w:trPr>
          <w:trHeight w:val="267"/>
        </w:trPr>
        <w:tc>
          <w:tcPr>
            <w:tcW w:w="2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Liquid Fertilizer, Industrial Ammonia</w:t>
            </w:r>
          </w:p>
        </w:tc>
        <w:tc>
          <w:tcPr>
            <w:tcW w:w="140" w:type="dxa"/>
            <w:vAlign w:val="bottom"/>
          </w:tcPr>
          <w:p>
            <w:pPr>
              <w:spacing w:after="0"/>
              <w:rPr>
                <w:sz w:val="23"/>
                <w:szCs w:val="23"/>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Chemical Feedstock Usage</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Compared to 2024</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Marine Transportation Revenues</w:t>
      </w:r>
    </w:p>
    <w:p>
      <w:pPr>
        <w:spacing w:after="0" w:line="199" w:lineRule="exact"/>
        <w:rPr>
          <w:sz w:val="20"/>
          <w:szCs w:val="20"/>
          <w:color w:val="auto"/>
        </w:rPr>
      </w:pPr>
    </w:p>
    <w:p>
      <w:pPr>
        <w:jc w:val="both"/>
        <w:ind w:firstLine="358"/>
        <w:spacing w:after="0" w:line="246" w:lineRule="auto"/>
        <w:rPr>
          <w:sz w:val="20"/>
          <w:szCs w:val="20"/>
          <w:color w:val="auto"/>
        </w:rPr>
      </w:pPr>
      <w:r>
        <w:rPr>
          <w:rFonts w:ascii="Times New Roman" w:cs="Times New Roman" w:eastAsia="Times New Roman" w:hAnsi="Times New Roman"/>
          <w:sz w:val="20"/>
          <w:szCs w:val="20"/>
          <w:color w:val="auto"/>
        </w:rPr>
        <w:t>KMT’s revenues for 2025 increased 1% compared to 2024 and operating income increased 3%, compared to 2024. The increase in revenues for 2025 was primarily due to higher term pricing in the coastal market and higher term and spot pricing in the inland market during the 2025 first half, partially offset by lower fuel rebills in both the inland and coastal markets. The increase in operating income for 2025 as compared to 2024 was primarily due to higher term pricing in the coastal market and higher term and spot pricing in the inland market over the 2025 first half, partially offset by lower barge utilization and moderating prices in the inland market in the 2025 second half. For 2025 and 2024, the inland tank barge fleet contributed 80% and 81%, respectively, and the coastal fleet contributed 20% and 19%, respectively, of marine transportation revenues.</w:t>
      </w:r>
    </w:p>
    <w:p>
      <w:pPr>
        <w:sectPr>
          <w:pgSz w:w="12240" w:h="15840" w:orient="portrait"/>
          <w:cols w:equalWidth="0" w:num="1">
            <w:col w:w="10800"/>
          </w:cols>
          <w:pgMar w:left="720" w:top="92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10800"/>
          </w:cols>
          <w:pgMar w:left="720" w:top="926" w:right="720" w:bottom="187" w:gutter="0" w:footer="0" w:header="0"/>
          <w:type w:val="continuous"/>
        </w:sectPr>
      </w:pPr>
    </w:p>
    <w:bookmarkStart w:id="51" w:name="page52"/>
    <w:bookmarkEnd w:id="51"/>
    <w:p>
      <w:pPr>
        <w:jc w:val="both"/>
        <w:ind w:firstLine="365"/>
        <w:spacing w:after="0" w:line="247" w:lineRule="auto"/>
        <w:rPr>
          <w:sz w:val="20"/>
          <w:szCs w:val="20"/>
          <w:color w:val="auto"/>
        </w:rPr>
      </w:pPr>
      <w:r>
        <w:rPr>
          <w:rFonts w:ascii="Times New Roman" w:cs="Times New Roman" w:eastAsia="Times New Roman" w:hAnsi="Times New Roman"/>
          <w:sz w:val="20"/>
          <w:szCs w:val="20"/>
          <w:color w:val="auto"/>
        </w:rPr>
        <w:t>Inland tank barge utilization levels in 2025 were flat as compared to 2024, ranging from the low to mid-90% range during both the 2025 first and second quarters, and mid-80% range during the 2025 third quarter, and the mid to high 80% range during the 2 025 fourth quarter. L</w:t>
      </w:r>
      <w:r>
        <w:rPr>
          <w:rFonts w:ascii="Times New Roman" w:cs="Times New Roman" w:eastAsia="Times New Roman" w:hAnsi="Times New Roman"/>
          <w:sz w:val="19"/>
          <w:szCs w:val="19"/>
          <w:color w:val="auto"/>
        </w:rPr>
        <w:t>ighter feedstock mix for refinery and chemical customers and fewer barges undergoing maintenance across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industry impacted utilization in the 2025 third quarter. </w:t>
      </w:r>
      <w:r>
        <w:rPr>
          <w:rFonts w:ascii="Times New Roman" w:cs="Times New Roman" w:eastAsia="Times New Roman" w:hAnsi="Times New Roman"/>
          <w:sz w:val="20"/>
          <w:szCs w:val="20"/>
          <w:color w:val="auto"/>
        </w:rPr>
        <w:t>During 2024, inland tank barge utilization levels ranged from the low to mid-90% range during both the 2024 first and second quarters and the 90% range during both the 2024 third and fourth quarters. Coastal tank barge utilization levels during both 2025 and 2024 averaged in the mid to high 90% range.</w:t>
      </w:r>
    </w:p>
    <w:p>
      <w:pPr>
        <w:spacing w:after="0" w:line="160" w:lineRule="exact"/>
        <w:rPr>
          <w:sz w:val="20"/>
          <w:szCs w:val="20"/>
          <w:color w:val="auto"/>
        </w:rPr>
      </w:pPr>
    </w:p>
    <w:p>
      <w:pPr>
        <w:jc w:val="both"/>
        <w:ind w:left="20" w:firstLine="350"/>
        <w:spacing w:after="0" w:line="278" w:lineRule="auto"/>
        <w:rPr>
          <w:sz w:val="20"/>
          <w:szCs w:val="20"/>
          <w:color w:val="auto"/>
        </w:rPr>
      </w:pPr>
      <w:r>
        <w:rPr>
          <w:rFonts w:ascii="Times New Roman" w:cs="Times New Roman" w:eastAsia="Times New Roman" w:hAnsi="Times New Roman"/>
          <w:sz w:val="20"/>
          <w:szCs w:val="20"/>
          <w:color w:val="auto"/>
        </w:rPr>
        <w:t>The petrochemical market, the Company’s largest market, contributed 48% of marine transportation revenues for 2025, reflecting steady rates, volumes and utilization from Gulf Coast petrochemical plants.</w:t>
      </w:r>
    </w:p>
    <w:p>
      <w:pPr>
        <w:spacing w:after="0" w:line="12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black oil market, which contributed 26% of marine transportation revenues for 2025, reflecting stable demand as refinery utilization and production levels of refined petroleum products and fuel oils increased. During 2025, the Company transported crude oil and natural gas condensate produced from major U.S. shale basins along the Gulf Intracoastal Waterway with inland vessels and in the Gulf of America with coastal equipment. Additionally, the Company transported volumes of Utica natural gas condensate downriver from the Mid-Atlantic to the Gulf Coast.</w:t>
      </w:r>
    </w:p>
    <w:p>
      <w:pPr>
        <w:spacing w:after="0" w:line="157" w:lineRule="exact"/>
        <w:rPr>
          <w:sz w:val="20"/>
          <w:szCs w:val="20"/>
          <w:color w:val="auto"/>
        </w:rPr>
      </w:pPr>
    </w:p>
    <w:p>
      <w:pPr>
        <w:jc w:val="both"/>
        <w:ind w:firstLine="358"/>
        <w:spacing w:after="0" w:line="278" w:lineRule="auto"/>
        <w:rPr>
          <w:sz w:val="20"/>
          <w:szCs w:val="20"/>
          <w:color w:val="auto"/>
        </w:rPr>
      </w:pPr>
      <w:r>
        <w:rPr>
          <w:rFonts w:ascii="Times New Roman" w:cs="Times New Roman" w:eastAsia="Times New Roman" w:hAnsi="Times New Roman"/>
          <w:sz w:val="20"/>
          <w:szCs w:val="20"/>
          <w:color w:val="auto"/>
        </w:rPr>
        <w:t>The refined petroleum products market, which contributed 23% of marine transportation revenues for 2025, reflected stable volumes in the inland market with steady refinery utilization and product levels.</w:t>
      </w:r>
    </w:p>
    <w:p>
      <w:pPr>
        <w:spacing w:after="0" w:line="127" w:lineRule="exact"/>
        <w:rPr>
          <w:sz w:val="20"/>
          <w:szCs w:val="20"/>
          <w:color w:val="auto"/>
        </w:rPr>
      </w:pPr>
    </w:p>
    <w:p>
      <w:pPr>
        <w:jc w:val="both"/>
        <w:ind w:firstLine="358"/>
        <w:spacing w:after="0" w:line="278" w:lineRule="auto"/>
        <w:rPr>
          <w:sz w:val="20"/>
          <w:szCs w:val="20"/>
          <w:color w:val="auto"/>
        </w:rPr>
      </w:pPr>
      <w:r>
        <w:rPr>
          <w:rFonts w:ascii="Times New Roman" w:cs="Times New Roman" w:eastAsia="Times New Roman" w:hAnsi="Times New Roman"/>
          <w:sz w:val="20"/>
          <w:szCs w:val="20"/>
          <w:color w:val="auto"/>
        </w:rPr>
        <w:t>The agricultural chemical market, which contributed 3% of marine transportation revenues for 2025, reflected stable demand for transportation of both domestically produced and imported products.</w:t>
      </w:r>
    </w:p>
    <w:p>
      <w:pPr>
        <w:spacing w:after="0" w:line="127" w:lineRule="exact"/>
        <w:rPr>
          <w:sz w:val="20"/>
          <w:szCs w:val="20"/>
          <w:color w:val="auto"/>
        </w:rPr>
      </w:pPr>
    </w:p>
    <w:p>
      <w:pPr>
        <w:jc w:val="both"/>
        <w:ind w:firstLine="365"/>
        <w:spacing w:after="0" w:line="249" w:lineRule="auto"/>
        <w:rPr>
          <w:sz w:val="20"/>
          <w:szCs w:val="20"/>
          <w:color w:val="auto"/>
        </w:rPr>
      </w:pPr>
      <w:r>
        <w:rPr>
          <w:rFonts w:ascii="Times New Roman" w:cs="Times New Roman" w:eastAsia="Times New Roman" w:hAnsi="Times New Roman"/>
          <w:sz w:val="20"/>
          <w:szCs w:val="20"/>
          <w:color w:val="auto"/>
        </w:rPr>
        <w:t>Inland operations incurred 11,410 delay days in 2025, 1% fewer than the 11,583 delay days that occurred during 2024. Delay days measure the lost time incurred by a tow (towboat and one or more tank barges) during transit when the tow is stopped due t weather, lock conditions, or other navigational factors. Delay days reflected very favorable seasonal weather and improved navigational conditions in the 2025 third quarter, and poor operating conditions due to heavy wind and fog along the Gulf Coast and lock delays during the 2025 and 2024 first quarters.</w:t>
      </w:r>
    </w:p>
    <w:p>
      <w:pPr>
        <w:spacing w:after="0" w:line="157" w:lineRule="exact"/>
        <w:rPr>
          <w:sz w:val="20"/>
          <w:szCs w:val="20"/>
          <w:color w:val="auto"/>
        </w:rPr>
      </w:pPr>
    </w:p>
    <w:p>
      <w:pPr>
        <w:jc w:val="both"/>
        <w:ind w:firstLine="362"/>
        <w:spacing w:after="0" w:line="245" w:lineRule="auto"/>
        <w:rPr>
          <w:sz w:val="20"/>
          <w:szCs w:val="20"/>
          <w:color w:val="auto"/>
        </w:rPr>
      </w:pPr>
      <w:r>
        <w:rPr>
          <w:rFonts w:ascii="Times New Roman" w:cs="Times New Roman" w:eastAsia="Times New Roman" w:hAnsi="Times New Roman"/>
          <w:sz w:val="20"/>
          <w:szCs w:val="20"/>
          <w:color w:val="auto"/>
        </w:rPr>
        <w:t>Approximately 70% of the inland marine transportation revenues were under term contracts and 30% were under spot contracts in 2025. Approximately 65% of the inland marine transportation revenues were under term contracts and 35% were under spot contract in 2024. Term contracts provide the operations with a reasonably predictable revenue stream. Inland time charters, which help insulate the Company from revenue fluctuations caused by weather and navigational delays and temporary market declines, represented 59% of the inland revenues under term contracts during 2025 and 61% in 2024. During 2025 and 2024, approximately 100% and 99%, respectively, of coastal revenues were under term contracts and none and 1%, respectively, were under spot contracts. Coastal time charters represented approximately 100% and 98% of coastal revenues under term contracts during 2025 and 2024, respectively. Term contracts have contract terms of 12 months or longer, while spot contracts have contract terms of less than 12 months.</w:t>
      </w:r>
    </w:p>
    <w:p>
      <w:pPr>
        <w:spacing w:after="0" w:line="163" w:lineRule="exact"/>
        <w:rPr>
          <w:sz w:val="20"/>
          <w:szCs w:val="20"/>
          <w:color w:val="auto"/>
        </w:rPr>
      </w:pPr>
    </w:p>
    <w:p>
      <w:pPr>
        <w:jc w:val="both"/>
        <w:ind w:firstLine="358"/>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average range of pricing changes in term and spot contracts renewed during 2025 compared to contracts renewed during the corresponding quarter of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8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20" w:type="dxa"/>
            <w:vAlign w:val="bottom"/>
            <w:vMerge w:val="restart"/>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September 30, 2025</w:t>
            </w:r>
          </w:p>
        </w:tc>
        <w:tc>
          <w:tcPr>
            <w:tcW w:w="1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80" w:type="dxa"/>
            <w:vAlign w:val="bottom"/>
            <w:tcBorders>
              <w:bottom w:val="single" w:sz="8" w:color="EAEAEA"/>
            </w:tcBorders>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4"/>
                <w:szCs w:val="14"/>
                <w:b w:val="1"/>
                <w:bCs w:val="1"/>
                <w:color w:val="auto"/>
                <w:highlight w:val="white"/>
              </w:rPr>
              <w:t>March 31, 2025</w:t>
            </w:r>
          </w:p>
        </w:tc>
        <w:tc>
          <w:tcPr>
            <w:tcW w:w="2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EAEAEA"/>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4"/>
                <w:szCs w:val="14"/>
                <w:b w:val="1"/>
                <w:bCs w:val="1"/>
                <w:color w:val="auto"/>
                <w:highlight w:val="white"/>
              </w:rPr>
              <w:t>June 30, 2025</w:t>
            </w:r>
          </w:p>
        </w:tc>
        <w:tc>
          <w:tcPr>
            <w:tcW w:w="3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EAEAEA"/>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EAEAEA"/>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4"/>
                <w:szCs w:val="14"/>
                <w:b w:val="1"/>
                <w:bCs w:val="1"/>
                <w:color w:val="auto"/>
                <w:highlight w:val="white"/>
              </w:rPr>
              <w:t>December 31, 2025</w:t>
            </w:r>
          </w:p>
        </w:tc>
        <w:tc>
          <w:tcPr>
            <w:tcW w:w="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080" w:type="dxa"/>
            <w:vAlign w:val="bottom"/>
            <w:tcBorders>
              <w:bottom w:val="single" w:sz="8" w:color="EAEAEA"/>
            </w:tcBorders>
            <w:shd w:val="clear" w:color="auto" w:fill="EAEAEA"/>
          </w:tcPr>
          <w:p>
            <w:pPr>
              <w:spacing w:after="0" w:line="200" w:lineRule="exact"/>
              <w:rPr>
                <w:sz w:val="20"/>
                <w:szCs w:val="20"/>
                <w:color w:val="auto"/>
              </w:rPr>
            </w:pPr>
            <w:r>
              <w:rPr>
                <w:rFonts w:ascii="Times New Roman" w:cs="Times New Roman" w:eastAsia="Times New Roman" w:hAnsi="Times New Roman"/>
                <w:sz w:val="20"/>
                <w:szCs w:val="20"/>
                <w:color w:val="auto"/>
                <w:shd w:val="clear" w:color="auto" w:fill="EAEAEA"/>
              </w:rPr>
              <w:t>Inland market:</w:t>
            </w:r>
          </w:p>
        </w:tc>
        <w:tc>
          <w:tcPr>
            <w:tcW w:w="240" w:type="dxa"/>
            <w:vAlign w:val="bottom"/>
            <w:tcBorders>
              <w:bottom w:val="single" w:sz="8" w:color="EAEAEA"/>
            </w:tcBorders>
            <w:shd w:val="clear" w:color="auto" w:fill="EAEAEA"/>
          </w:tcPr>
          <w:p>
            <w:pPr>
              <w:spacing w:after="0"/>
              <w:rPr>
                <w:sz w:val="19"/>
                <w:szCs w:val="19"/>
                <w:color w:val="auto"/>
              </w:rPr>
            </w:pPr>
          </w:p>
        </w:tc>
        <w:tc>
          <w:tcPr>
            <w:tcW w:w="106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rPr>
                <w:sz w:val="19"/>
                <w:szCs w:val="19"/>
                <w:color w:val="auto"/>
              </w:rPr>
            </w:pPr>
          </w:p>
        </w:tc>
        <w:tc>
          <w:tcPr>
            <w:tcW w:w="94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3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2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Term</w:t>
            </w:r>
          </w:p>
        </w:tc>
        <w:tc>
          <w:tcPr>
            <w:tcW w:w="2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 – 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 – 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 – 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 – (5)%</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EAEAEA"/>
            </w:tcBorders>
            <w:shd w:val="clear" w:color="auto" w:fill="EAEAEA"/>
          </w:tcPr>
          <w:p>
            <w:pPr>
              <w:ind w:left="2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Spot</w:t>
            </w:r>
          </w:p>
        </w:tc>
        <w:tc>
          <w:tcPr>
            <w:tcW w:w="240" w:type="dxa"/>
            <w:vAlign w:val="bottom"/>
            <w:tcBorders>
              <w:bottom w:val="single" w:sz="8" w:color="EAEAEA"/>
            </w:tcBorders>
            <w:shd w:val="clear" w:color="auto" w:fill="EAEAEA"/>
          </w:tcPr>
          <w:p>
            <w:pPr>
              <w:spacing w:after="0"/>
              <w:rPr>
                <w:sz w:val="19"/>
                <w:szCs w:val="19"/>
                <w:color w:val="auto"/>
              </w:rPr>
            </w:pPr>
          </w:p>
        </w:tc>
        <w:tc>
          <w:tcPr>
            <w:tcW w:w="132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6% – 8%</w:t>
            </w:r>
          </w:p>
        </w:tc>
        <w:tc>
          <w:tcPr>
            <w:tcW w:w="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rPr>
                <w:sz w:val="19"/>
                <w:szCs w:val="19"/>
                <w:color w:val="auto"/>
              </w:rPr>
            </w:pPr>
          </w:p>
        </w:tc>
        <w:tc>
          <w:tcPr>
            <w:tcW w:w="126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6% – 8%</w:t>
            </w: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4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(2)% – (4)%</w:t>
            </w: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40" w:type="dxa"/>
            <w:vAlign w:val="bottom"/>
            <w:tcBorders>
              <w:bottom w:val="single" w:sz="8" w:color="EAEAEA"/>
            </w:tcBorders>
            <w:gridSpan w:val="2"/>
            <w:shd w:val="clear" w:color="auto" w:fill="EAEAEA"/>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shd w:val="clear" w:color="auto" w:fill="EAEAEA"/>
              </w:rPr>
              <w:t>(4)% – (6)%</w:t>
            </w: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Coastal market (a):</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EAEAEA"/>
          </w:tcPr>
          <w:p>
            <w:pPr>
              <w:ind w:left="20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Term</w:t>
            </w:r>
          </w:p>
        </w:tc>
        <w:tc>
          <w:tcPr>
            <w:tcW w:w="240" w:type="dxa"/>
            <w:vAlign w:val="bottom"/>
            <w:shd w:val="clear" w:color="auto" w:fill="EAEAEA"/>
          </w:tcPr>
          <w:p>
            <w:pPr>
              <w:spacing w:after="0"/>
              <w:rPr>
                <w:sz w:val="17"/>
                <w:szCs w:val="17"/>
                <w:color w:val="auto"/>
              </w:rPr>
            </w:pPr>
          </w:p>
        </w:tc>
        <w:tc>
          <w:tcPr>
            <w:tcW w:w="132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24% – 26%</w:t>
            </w: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126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24% – 26%</w:t>
            </w: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4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14% – 16%</w:t>
            </w: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40" w:type="dxa"/>
            <w:vAlign w:val="bottom"/>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N/A</w:t>
            </w:r>
          </w:p>
        </w:tc>
        <w:tc>
          <w:tcPr>
            <w:tcW w:w="0" w:type="dxa"/>
            <w:vAlign w:val="bottom"/>
          </w:tcPr>
          <w:p>
            <w:pPr>
              <w:spacing w:after="0"/>
              <w:rPr>
                <w:sz w:val="1"/>
                <w:szCs w:val="1"/>
                <w:color w:val="auto"/>
              </w:rPr>
            </w:pPr>
          </w:p>
        </w:tc>
      </w:tr>
      <w:tr>
        <w:trPr>
          <w:trHeight w:val="41"/>
        </w:trPr>
        <w:tc>
          <w:tcPr>
            <w:tcW w:w="4080" w:type="dxa"/>
            <w:vAlign w:val="bottom"/>
            <w:shd w:val="clear" w:color="auto" w:fill="EAEAEA"/>
          </w:tcPr>
          <w:p>
            <w:pPr>
              <w:spacing w:after="0"/>
              <w:rPr>
                <w:sz w:val="3"/>
                <w:szCs w:val="3"/>
                <w:color w:val="auto"/>
              </w:rPr>
            </w:pPr>
          </w:p>
        </w:tc>
        <w:tc>
          <w:tcPr>
            <w:tcW w:w="240" w:type="dxa"/>
            <w:vAlign w:val="bottom"/>
            <w:shd w:val="clear" w:color="auto" w:fill="EAEAEA"/>
          </w:tcPr>
          <w:p>
            <w:pPr>
              <w:spacing w:after="0"/>
              <w:rPr>
                <w:sz w:val="3"/>
                <w:szCs w:val="3"/>
                <w:color w:val="auto"/>
              </w:rPr>
            </w:pPr>
          </w:p>
        </w:tc>
        <w:tc>
          <w:tcPr>
            <w:tcW w:w="1060" w:type="dxa"/>
            <w:vAlign w:val="bottom"/>
            <w:shd w:val="clear" w:color="auto" w:fill="EAEAEA"/>
          </w:tcPr>
          <w:p>
            <w:pPr>
              <w:spacing w:after="0"/>
              <w:rPr>
                <w:sz w:val="3"/>
                <w:szCs w:val="3"/>
                <w:color w:val="auto"/>
              </w:rPr>
            </w:pPr>
          </w:p>
        </w:tc>
        <w:tc>
          <w:tcPr>
            <w:tcW w:w="26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140" w:type="dxa"/>
            <w:vAlign w:val="bottom"/>
            <w:shd w:val="clear" w:color="auto" w:fill="EAEAEA"/>
          </w:tcPr>
          <w:p>
            <w:pPr>
              <w:spacing w:after="0"/>
              <w:rPr>
                <w:sz w:val="3"/>
                <w:szCs w:val="3"/>
                <w:color w:val="auto"/>
              </w:rPr>
            </w:pPr>
          </w:p>
        </w:tc>
        <w:tc>
          <w:tcPr>
            <w:tcW w:w="300" w:type="dxa"/>
            <w:vAlign w:val="bottom"/>
            <w:shd w:val="clear" w:color="auto" w:fill="EAEAEA"/>
          </w:tcPr>
          <w:p>
            <w:pPr>
              <w:spacing w:after="0"/>
              <w:rPr>
                <w:sz w:val="3"/>
                <w:szCs w:val="3"/>
                <w:color w:val="auto"/>
              </w:rPr>
            </w:pPr>
          </w:p>
        </w:tc>
        <w:tc>
          <w:tcPr>
            <w:tcW w:w="940" w:type="dxa"/>
            <w:vAlign w:val="bottom"/>
            <w:shd w:val="clear" w:color="auto" w:fill="EAEAEA"/>
          </w:tcPr>
          <w:p>
            <w:pPr>
              <w:spacing w:after="0"/>
              <w:rPr>
                <w:sz w:val="3"/>
                <w:szCs w:val="3"/>
                <w:color w:val="auto"/>
              </w:rPr>
            </w:pPr>
          </w:p>
        </w:tc>
        <w:tc>
          <w:tcPr>
            <w:tcW w:w="32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132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128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20" w:hanging="360"/>
        <w:spacing w:after="0" w:line="279"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contract pricing in the coastal market are contingent on various factors including geographic location, vessel capacity, vessel type, and product serviced.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were no coastal marine transportation contracts scheduled for renewal in the 2025 fourth quarter.</w:t>
      </w:r>
    </w:p>
    <w:p>
      <w:pPr>
        <w:spacing w:after="0" w:line="200" w:lineRule="exact"/>
        <w:rPr>
          <w:sz w:val="20"/>
          <w:szCs w:val="20"/>
          <w:color w:val="auto"/>
        </w:rPr>
      </w:pPr>
    </w:p>
    <w:p>
      <w:pPr>
        <w:ind w:firstLine="359"/>
        <w:spacing w:after="0" w:line="278" w:lineRule="auto"/>
        <w:rPr>
          <w:sz w:val="20"/>
          <w:szCs w:val="20"/>
          <w:color w:val="auto"/>
        </w:rPr>
      </w:pPr>
      <w:r>
        <w:rPr>
          <w:rFonts w:ascii="Times New Roman" w:cs="Times New Roman" w:eastAsia="Times New Roman" w:hAnsi="Times New Roman"/>
          <w:sz w:val="20"/>
          <w:szCs w:val="20"/>
          <w:color w:val="auto"/>
        </w:rPr>
        <w:t xml:space="preserve">Effective January 1, 2025, annual escalators for labor and the producer price index on a number of inland multi-year contracts resulted in rate increases on those contracts </w:t>
      </w:r>
      <w:r>
        <w:rPr>
          <w:rFonts w:ascii="Times New Roman" w:cs="Times New Roman" w:eastAsia="Times New Roman" w:hAnsi="Times New Roman"/>
          <w:sz w:val="19"/>
          <w:szCs w:val="19"/>
          <w:color w:val="auto"/>
        </w:rPr>
        <w:t>in the 3% to 5% range</w:t>
      </w:r>
      <w:r>
        <w:rPr>
          <w:rFonts w:ascii="Times New Roman" w:cs="Times New Roman" w:eastAsia="Times New Roman" w:hAnsi="Times New Roman"/>
          <w:sz w:val="20"/>
          <w:szCs w:val="20"/>
          <w:color w:val="auto"/>
        </w:rPr>
        <w:t>, excluding fuel.</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Marine Transportation Costs and Expenses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Total costs and expenses for 2025 increased 1% compared to 2024. Costs of sales and operating expenses for 2025 decreased 1%</w:t>
      </w:r>
    </w:p>
    <w:p>
      <w:pPr>
        <w:spacing w:after="0" w:line="36" w:lineRule="exact"/>
        <w:rPr>
          <w:sz w:val="20"/>
          <w:szCs w:val="20"/>
          <w:color w:val="auto"/>
        </w:rPr>
      </w:pPr>
    </w:p>
    <w:p>
      <w:pPr>
        <w:ind w:firstLine="7"/>
        <w:spacing w:after="0"/>
        <w:rPr>
          <w:sz w:val="20"/>
          <w:szCs w:val="20"/>
          <w:color w:val="auto"/>
        </w:rPr>
      </w:pPr>
      <w:r>
        <w:rPr>
          <w:rFonts w:ascii="Times New Roman" w:cs="Times New Roman" w:eastAsia="Times New Roman" w:hAnsi="Times New Roman"/>
          <w:sz w:val="20"/>
          <w:szCs w:val="20"/>
          <w:color w:val="auto"/>
        </w:rPr>
        <w:t>compared to 2024 primarily reflecting lower fuel costs which was partially offset by inflationary cost pressures including salary and wage increases that went into effect on July 1, 2025.</w:t>
      </w:r>
    </w:p>
    <w:p>
      <w:pPr>
        <w:spacing w:after="0" w:line="20" w:lineRule="exact"/>
        <w:rPr>
          <w:sz w:val="20"/>
          <w:szCs w:val="20"/>
          <w:color w:val="auto"/>
        </w:rPr>
      </w:pPr>
    </w:p>
    <w:p>
      <w:pPr>
        <w:sectPr>
          <w:pgSz w:w="12240" w:h="15840" w:orient="portrait"/>
          <w:cols w:equalWidth="0" w:num="1">
            <w:col w:w="10800"/>
          </w:cols>
          <w:pgMar w:left="720" w:top="929" w:right="720" w:bottom="176" w:gutter="0" w:footer="0" w:header="0"/>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929" w:right="720" w:bottom="176" w:gutter="0" w:footer="0" w:header="0"/>
          <w:type w:val="continuous"/>
        </w:sectPr>
      </w:pPr>
    </w:p>
    <w:bookmarkStart w:id="52" w:name="page53"/>
    <w:bookmarkEnd w:id="52"/>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inland marine transportation fleet operated an average of 279 towboats during 2025, of which an average of 69 were chartered, compared to 285 during 2024, of which an average of 70 were chartered. The decrease was primarily due to lower busin s activity levels in the second half of 2025. Generally, variability in demand or anticipated demand, as tank barges are added to or removed from the fleet, as chartered towboat availability changes, or as weather or water conditions dictate, the Company charters in</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or releases chartered towboats in an effort to balance horsepower needs with current requirements. The Company has historically used chartered towboats for approximately one-fourth of its horsepower requirements.</w:t>
      </w:r>
    </w:p>
    <w:p>
      <w:pPr>
        <w:spacing w:after="0" w:line="163" w:lineRule="exact"/>
        <w:rPr>
          <w:sz w:val="20"/>
          <w:szCs w:val="20"/>
          <w:color w:val="auto"/>
        </w:rPr>
      </w:pPr>
    </w:p>
    <w:p>
      <w:pPr>
        <w:jc w:val="both"/>
        <w:ind w:firstLine="365"/>
        <w:spacing w:after="0" w:line="249" w:lineRule="auto"/>
        <w:rPr>
          <w:sz w:val="20"/>
          <w:szCs w:val="20"/>
          <w:color w:val="auto"/>
        </w:rPr>
      </w:pPr>
      <w:r>
        <w:rPr>
          <w:rFonts w:ascii="Times New Roman" w:cs="Times New Roman" w:eastAsia="Times New Roman" w:hAnsi="Times New Roman"/>
          <w:sz w:val="20"/>
          <w:szCs w:val="20"/>
          <w:color w:val="auto"/>
        </w:rPr>
        <w:t>Inland operations consumed 49.3 million gallons of diesel fuel in 2025 compared to 46.8 million gallons consumed during 2024. The average price per gallon of diesel fuel consumed during 2025 was $2.47 per gallon compared to $ 2.66 per gallon for 2024.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58" w:lineRule="exact"/>
        <w:rPr>
          <w:sz w:val="20"/>
          <w:szCs w:val="20"/>
          <w:color w:val="auto"/>
        </w:rPr>
      </w:pPr>
    </w:p>
    <w:p>
      <w:pPr>
        <w:jc w:val="both"/>
        <w:ind w:firstLine="354"/>
        <w:spacing w:after="0" w:line="277" w:lineRule="auto"/>
        <w:rPr>
          <w:sz w:val="20"/>
          <w:szCs w:val="20"/>
          <w:color w:val="auto"/>
        </w:rPr>
      </w:pPr>
      <w:r>
        <w:rPr>
          <w:rFonts w:ascii="Times New Roman" w:cs="Times New Roman" w:eastAsia="Times New Roman" w:hAnsi="Times New Roman"/>
          <w:sz w:val="20"/>
          <w:szCs w:val="20"/>
          <w:color w:val="auto"/>
        </w:rPr>
        <w:t>Selling, general and administrative expenses for 2025 increased 5% compared to 2024 due to inflationary cost pressures, including higher medical costs, and salary and wage increases that went into effect on July 1, 2025.</w:t>
      </w:r>
    </w:p>
    <w:p>
      <w:pPr>
        <w:spacing w:after="0" w:line="12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Depreciation and amortization for 2025 increased 8% compared to 2024. The increase was primarily due to capital additions and equipment acquisitions during 2025 and 2024.</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Marine Transportation Operating Income and Operating Margins</w:t>
      </w:r>
    </w:p>
    <w:p>
      <w:pPr>
        <w:spacing w:after="0" w:line="20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KMT operating income for 2025 increased 3% compared to 2024. The operating margin was 19.3% for 2025 compared to 19.0% for 2024. The increase in operating income and operating margin were primarily due to higher term pricing in the coastal market and higher spot and term pricing in the inland market over the 2025 first half, partially offset by lower barge utilization and moderating prices in the inland market in the 2025 second half.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and Services</w:t>
      </w:r>
    </w:p>
    <w:p>
      <w:pPr>
        <w:spacing w:after="0" w:line="204"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color w:val="auto"/>
        </w:rPr>
        <w:t>The following table sets forth a year over year comparison of KDS’s revenues, costs and expenses, operating income and operating margins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80" w:type="dxa"/>
            <w:vAlign w:val="bottom"/>
            <w:gridSpan w:val="9"/>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000" w:type="dxa"/>
            <w:vAlign w:val="bottom"/>
            <w:tcBorders>
              <w:bottom w:val="single" w:sz="8" w:color="EAEAEA"/>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6"/>
              </w:rPr>
              <w:t>% Change</w:t>
            </w:r>
          </w:p>
        </w:tc>
        <w:tc>
          <w:tcPr>
            <w:tcW w:w="1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EAEAEA"/>
            </w:tcBorders>
          </w:tcPr>
          <w:p>
            <w:pPr>
              <w:spacing w:after="0"/>
              <w:rPr>
                <w:sz w:val="12"/>
                <w:szCs w:val="12"/>
                <w:color w:val="auto"/>
              </w:rPr>
            </w:pPr>
          </w:p>
        </w:tc>
        <w:tc>
          <w:tcPr>
            <w:tcW w:w="6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gridSpan w:val="2"/>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3"/>
              </w:rPr>
              <w:t>% Change</w:t>
            </w:r>
          </w:p>
        </w:tc>
        <w:tc>
          <w:tcPr>
            <w:tcW w:w="1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EAEAEA"/>
            </w:tcBorders>
            <w:vMerge w:val="continue"/>
          </w:tcPr>
          <w:p>
            <w:pPr>
              <w:spacing w:after="0"/>
              <w:rPr>
                <w:sz w:val="12"/>
                <w:szCs w:val="12"/>
                <w:color w:val="auto"/>
              </w:rPr>
            </w:pPr>
          </w:p>
        </w:tc>
        <w:tc>
          <w:tcPr>
            <w:tcW w:w="60" w:type="dxa"/>
            <w:vAlign w:val="bottom"/>
            <w:tcBorders>
              <w:bottom w:val="single" w:sz="8" w:color="EAEAE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Distribution and services revenues</w:t>
            </w:r>
          </w:p>
        </w:tc>
        <w:tc>
          <w:tcPr>
            <w:tcW w:w="16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80" w:type="dxa"/>
            <w:vAlign w:val="bottom"/>
            <w:tcBorders>
              <w:bottom w:val="single" w:sz="8" w:color="EAEAEA"/>
            </w:tcBorders>
            <w:shd w:val="clear" w:color="auto" w:fill="EAEAEA"/>
          </w:tcPr>
          <w:p>
            <w:pPr>
              <w:spacing w:after="0"/>
              <w:rPr>
                <w:sz w:val="20"/>
                <w:szCs w:val="20"/>
                <w:color w:val="auto"/>
              </w:rPr>
            </w:pPr>
          </w:p>
        </w:tc>
        <w:tc>
          <w:tcPr>
            <w:tcW w:w="76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2"/>
                <w:shd w:val="clear" w:color="auto" w:fill="EAEAEA"/>
              </w:rPr>
              <w:t>1,428,745</w:t>
            </w:r>
          </w:p>
        </w:tc>
        <w:tc>
          <w:tcPr>
            <w:tcW w:w="40" w:type="dxa"/>
            <w:vAlign w:val="bottom"/>
            <w:tcBorders>
              <w:left w:val="single" w:sz="8" w:color="EAEAEA"/>
            </w:tcBorders>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40" w:type="dxa"/>
            <w:vAlign w:val="bottom"/>
            <w:tcBorders>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1,352,826</w:t>
            </w:r>
          </w:p>
        </w:tc>
        <w:tc>
          <w:tcPr>
            <w:tcW w:w="22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70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6</w:t>
            </w:r>
          </w:p>
        </w:tc>
        <w:tc>
          <w:tcPr>
            <w:tcW w:w="16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2"/>
                <w:shd w:val="clear" w:color="auto" w:fill="EAEAEA"/>
              </w:rPr>
              <w:t>1,369,703</w:t>
            </w:r>
          </w:p>
        </w:tc>
        <w:tc>
          <w:tcPr>
            <w:tcW w:w="2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68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gridSpan w:val="2"/>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(1</w:t>
            </w:r>
          </w:p>
        </w:tc>
        <w:tc>
          <w:tcPr>
            <w:tcW w:w="24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4"/>
                <w:shd w:val="clear" w:color="auto" w:fill="EAEAEA"/>
              </w:rPr>
              <w:t>)%</w:t>
            </w:r>
          </w:p>
        </w:tc>
        <w:tc>
          <w:tcPr>
            <w:tcW w:w="6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Costs and expenses:</w:t>
            </w:r>
          </w:p>
        </w:tc>
        <w:tc>
          <w:tcPr>
            <w:tcW w:w="1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760" w:type="dxa"/>
            <w:vAlign w:val="bottom"/>
            <w:shd w:val="clear" w:color="auto" w:fill="EAEAEA"/>
          </w:tcPr>
          <w:p>
            <w:pPr>
              <w:spacing w:after="0"/>
              <w:rPr>
                <w:sz w:val="21"/>
                <w:szCs w:val="21"/>
                <w:color w:val="auto"/>
              </w:rPr>
            </w:pPr>
          </w:p>
        </w:tc>
        <w:tc>
          <w:tcPr>
            <w:tcW w:w="40" w:type="dxa"/>
            <w:vAlign w:val="bottom"/>
            <w:tcBorders>
              <w:left w:val="single" w:sz="8" w:color="EAEAEA"/>
            </w:tcBorders>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90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0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78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68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 of sales and operating expenses</w:t>
            </w: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1,045,421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1,008,008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1,040,905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5"/>
          </w:tcPr>
          <w:p>
            <w:pPr>
              <w:ind w:left="820"/>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0" w:type="dxa"/>
            <w:vAlign w:val="bottom"/>
            <w:tcBorders>
              <w:bottom w:val="single" w:sz="8" w:color="EAEAEA"/>
            </w:tcBorders>
            <w:shd w:val="clear" w:color="auto" w:fill="EAEAEA"/>
          </w:tcPr>
          <w:p>
            <w:pPr>
              <w:ind w:left="22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Selling, general and administrative</w:t>
            </w:r>
          </w:p>
        </w:tc>
        <w:tc>
          <w:tcPr>
            <w:tcW w:w="16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200,860</w:t>
            </w:r>
          </w:p>
        </w:tc>
        <w:tc>
          <w:tcPr>
            <w:tcW w:w="40" w:type="dxa"/>
            <w:vAlign w:val="bottom"/>
            <w:tcBorders>
              <w:left w:val="single" w:sz="8" w:color="EAEAEA"/>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940" w:type="dxa"/>
            <w:vAlign w:val="bottom"/>
            <w:tcBorders>
              <w:bottom w:val="single" w:sz="8" w:color="EAEAEA"/>
            </w:tcBorders>
            <w:gridSpan w:val="2"/>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192,439</w:t>
            </w:r>
          </w:p>
        </w:tc>
        <w:tc>
          <w:tcPr>
            <w:tcW w:w="2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70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4</w:t>
            </w: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187,424</w:t>
            </w:r>
          </w:p>
        </w:tc>
        <w:tc>
          <w:tcPr>
            <w:tcW w:w="2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700" w:type="dxa"/>
            <w:vAlign w:val="bottom"/>
            <w:tcBorders>
              <w:bottom w:val="single" w:sz="8" w:color="EAEAEA"/>
            </w:tcBorders>
            <w:gridSpan w:val="2"/>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shd w:val="clear" w:color="auto" w:fill="EAEAEA"/>
              </w:rPr>
              <w:t>3</w:t>
            </w:r>
          </w:p>
        </w:tc>
        <w:tc>
          <w:tcPr>
            <w:tcW w:w="24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Taxes, other than on income</w:t>
            </w: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8,776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8,329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7,051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EAEAEA"/>
            </w:tcBorders>
            <w:shd w:val="clear" w:color="auto" w:fill="EAEAEA"/>
          </w:tcPr>
          <w:p>
            <w:pPr>
              <w:ind w:left="20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Depreciation and amortization</w:t>
            </w:r>
          </w:p>
        </w:tc>
        <w:tc>
          <w:tcPr>
            <w:tcW w:w="16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7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42,936</w:t>
            </w:r>
          </w:p>
        </w:tc>
        <w:tc>
          <w:tcPr>
            <w:tcW w:w="40" w:type="dxa"/>
            <w:vAlign w:val="bottom"/>
            <w:tcBorders>
              <w:left w:val="single" w:sz="8" w:color="EAEAEA"/>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940" w:type="dxa"/>
            <w:vAlign w:val="bottom"/>
            <w:tcBorders>
              <w:bottom w:val="single" w:sz="8" w:color="EAEAEA"/>
            </w:tcBorders>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35,448</w:t>
            </w:r>
          </w:p>
        </w:tc>
        <w:tc>
          <w:tcPr>
            <w:tcW w:w="22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880" w:type="dxa"/>
            <w:vAlign w:val="bottom"/>
            <w:tcBorders>
              <w:bottom w:val="single" w:sz="8" w:color="EAEAEA"/>
            </w:tcBorders>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21</w:t>
            </w:r>
          </w:p>
        </w:tc>
        <w:tc>
          <w:tcPr>
            <w:tcW w:w="16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19,842</w:t>
            </w:r>
          </w:p>
        </w:tc>
        <w:tc>
          <w:tcPr>
            <w:tcW w:w="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EAEAEA"/>
            </w:tcBorders>
            <w:shd w:val="clear" w:color="auto" w:fill="EAEAEA"/>
          </w:tcPr>
          <w:p>
            <w:pPr>
              <w:spacing w:after="0"/>
              <w:rPr>
                <w:sz w:val="21"/>
                <w:szCs w:val="21"/>
                <w:color w:val="auto"/>
              </w:rPr>
            </w:pPr>
          </w:p>
        </w:tc>
        <w:tc>
          <w:tcPr>
            <w:tcW w:w="840" w:type="dxa"/>
            <w:vAlign w:val="bottom"/>
            <w:tcBorders>
              <w:bottom w:val="single" w:sz="8" w:color="EAEAEA"/>
            </w:tcBorders>
            <w:gridSpan w:val="3"/>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79</w:t>
            </w:r>
          </w:p>
        </w:tc>
        <w:tc>
          <w:tcPr>
            <w:tcW w:w="24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40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vMerge w:val="restart"/>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gridSpan w:val="2"/>
            <w:vMerge w:val="restart"/>
          </w:tcPr>
          <w:p>
            <w:pPr>
              <w:jc w:val="right"/>
              <w:spacing w:after="0" w:line="229" w:lineRule="exact"/>
              <w:rPr>
                <w:sz w:val="20"/>
                <w:szCs w:val="20"/>
                <w:color w:val="auto"/>
              </w:rPr>
            </w:pPr>
            <w:r>
              <w:rPr>
                <w:rFonts w:ascii="Times New Roman" w:cs="Times New Roman" w:eastAsia="Times New Roman" w:hAnsi="Times New Roman"/>
                <w:sz w:val="20"/>
                <w:szCs w:val="20"/>
                <w:color w:val="auto"/>
              </w:rPr>
              <w:t>1,244,224</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restart"/>
          </w:tcPr>
          <w:p>
            <w:pPr>
              <w:jc w:val="right"/>
              <w:spacing w:after="0" w:line="229" w:lineRule="exact"/>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vMerge w:val="restart"/>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5"/>
            <w:vMerge w:val="restart"/>
          </w:tcPr>
          <w:p>
            <w:pPr>
              <w:ind w:left="820"/>
              <w:spacing w:after="0" w:line="229" w:lineRule="exact"/>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7"/>
              </w:rPr>
              <w:t>1,297,993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9"/>
              </w:rPr>
              <w:t>1,255,222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70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68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tcBorders>
              <w:bottom w:val="single" w:sz="8" w:color="EAEAEA"/>
            </w:tcBorders>
            <w:shd w:val="clear" w:color="auto" w:fill="EAEAEA"/>
          </w:tcPr>
          <w:p>
            <w:pPr>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Operating income</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8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130,752</w:t>
            </w:r>
          </w:p>
        </w:tc>
        <w:tc>
          <w:tcPr>
            <w:tcW w:w="40" w:type="dxa"/>
            <w:vAlign w:val="bottom"/>
            <w:tcBorders>
              <w:left w:val="single" w:sz="8" w:color="EAEAEA"/>
            </w:tcBorders>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4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108,602</w:t>
            </w:r>
          </w:p>
        </w:tc>
        <w:tc>
          <w:tcPr>
            <w:tcW w:w="2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20</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114,481</w:t>
            </w:r>
          </w:p>
        </w:tc>
        <w:tc>
          <w:tcPr>
            <w:tcW w:w="2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gridSpan w:val="2"/>
            <w:shd w:val="clear" w:color="auto" w:fill="EAEAEA"/>
          </w:tcPr>
          <w:p>
            <w:pPr>
              <w:spacing w:after="0"/>
              <w:rPr>
                <w:sz w:val="19"/>
                <w:szCs w:val="19"/>
                <w:color w:val="auto"/>
              </w:rPr>
            </w:pPr>
          </w:p>
        </w:tc>
        <w:tc>
          <w:tcPr>
            <w:tcW w:w="16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1"/>
                <w:shd w:val="clear" w:color="auto" w:fill="EAEAEA"/>
              </w:rPr>
              <w:t>(5</w:t>
            </w:r>
          </w:p>
        </w:tc>
        <w:tc>
          <w:tcPr>
            <w:tcW w:w="24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94"/>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margins</w:t>
            </w: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40" w:type="dxa"/>
            <w:vAlign w:val="bottom"/>
            <w:tcBorders>
              <w:top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1"/>
              </w:rPr>
              <w:t>%</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Borders>
              <w:top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-1791970</wp:posOffset>
            </wp:positionV>
            <wp:extent cx="415480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3">
                      <a:extLst>
                        <a:ext uri="{28A0092B-C50C-407E-A947-70E740481C1C}"/>
                      </a:extLst>
                    </a:blip>
                    <a:srcRect/>
                    <a:stretch>
                      <a:fillRect/>
                    </a:stretch>
                  </pic:blipFill>
                  <pic:spPr bwMode="auto">
                    <a:xfrm>
                      <a:off x="0" y="0"/>
                      <a:ext cx="4154805" cy="3492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-1647190</wp:posOffset>
            </wp:positionV>
            <wp:extent cx="67818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ext uri="{28A0092B-C50C-407E-A947-70E740481C1C}"/>
                      </a:extLst>
                    </a:blip>
                    <a:srcRect/>
                    <a:stretch>
                      <a:fillRect/>
                    </a:stretch>
                  </pic:blipFill>
                  <pic:spPr bwMode="auto">
                    <a:xfrm>
                      <a:off x="0" y="0"/>
                      <a:ext cx="678180" cy="2540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-1482725</wp:posOffset>
            </wp:positionV>
            <wp:extent cx="67818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5">
                      <a:extLst>
                        <a:ext uri="{28A0092B-C50C-407E-A947-70E740481C1C}"/>
                      </a:extLst>
                    </a:blip>
                    <a:srcRect/>
                    <a:stretch>
                      <a:fillRect/>
                    </a:stretch>
                  </pic:blipFill>
                  <pic:spPr bwMode="auto">
                    <a:xfrm>
                      <a:off x="0" y="0"/>
                      <a:ext cx="678180" cy="2540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-543560</wp:posOffset>
            </wp:positionV>
            <wp:extent cx="67818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6">
                      <a:extLst>
                        <a:ext uri="{28A0092B-C50C-407E-A947-70E740481C1C}"/>
                      </a:extLst>
                    </a:blip>
                    <a:srcRect/>
                    <a:stretch>
                      <a:fillRect/>
                    </a:stretch>
                  </pic:blipFill>
                  <pic:spPr bwMode="auto">
                    <a:xfrm>
                      <a:off x="0" y="0"/>
                      <a:ext cx="678180" cy="2540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-379095</wp:posOffset>
            </wp:positionV>
            <wp:extent cx="67818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7">
                      <a:extLst>
                        <a:ext uri="{28A0092B-C50C-407E-A947-70E740481C1C}"/>
                      </a:extLst>
                    </a:blip>
                    <a:srcRect/>
                    <a:stretch>
                      <a:fillRect/>
                    </a:stretch>
                  </pic:blipFill>
                  <pic:spPr bwMode="auto">
                    <a:xfrm>
                      <a:off x="0" y="0"/>
                      <a:ext cx="678180" cy="2540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-195580</wp:posOffset>
            </wp:positionV>
            <wp:extent cx="59817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8">
                      <a:extLst>
                        <a:ext uri="{28A0092B-C50C-407E-A947-70E740481C1C}"/>
                      </a:extLst>
                    </a:blip>
                    <a:srcRect/>
                    <a:stretch>
                      <a:fillRect/>
                    </a:stretch>
                  </pic:blipFill>
                  <pic:spPr bwMode="auto">
                    <a:xfrm>
                      <a:off x="0" y="0"/>
                      <a:ext cx="598170" cy="2540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following table shows the markets serviced by the Company, the revenue distribution, and the customers for each market: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2025 Revenue</w:t>
            </w:r>
          </w:p>
        </w:tc>
        <w:tc>
          <w:tcPr>
            <w:tcW w:w="1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3"/>
        </w:trPr>
        <w:tc>
          <w:tcPr>
            <w:tcW w:w="26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Markets Serviced</w:t>
            </w:r>
          </w:p>
        </w:tc>
        <w:tc>
          <w:tcPr>
            <w:tcW w:w="160" w:type="dxa"/>
            <w:vAlign w:val="bottom"/>
            <w:tcBorders>
              <w:bottom w:val="single" w:sz="8" w:color="EAEAEA"/>
            </w:tcBorders>
          </w:tcPr>
          <w:p>
            <w:pPr>
              <w:spacing w:after="0"/>
              <w:rPr>
                <w:sz w:val="17"/>
                <w:szCs w:val="17"/>
                <w:color w:val="auto"/>
              </w:rPr>
            </w:pPr>
          </w:p>
        </w:tc>
        <w:tc>
          <w:tcPr>
            <w:tcW w:w="16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160" w:type="dxa"/>
            <w:vAlign w:val="bottom"/>
            <w:tcBorders>
              <w:bottom w:val="single" w:sz="8" w:color="EAEAEA"/>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Customers</w:t>
            </w:r>
          </w:p>
        </w:tc>
      </w:tr>
      <w:tr>
        <w:trPr>
          <w:trHeight w:val="185"/>
        </w:trPr>
        <w:tc>
          <w:tcPr>
            <w:tcW w:w="2640" w:type="dxa"/>
            <w:vAlign w:val="bottom"/>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Commercial and Industrial</w:t>
            </w:r>
          </w:p>
        </w:tc>
        <w:tc>
          <w:tcPr>
            <w:tcW w:w="160" w:type="dxa"/>
            <w:vAlign w:val="bottom"/>
            <w:shd w:val="clear" w:color="auto" w:fill="EAEAEA"/>
          </w:tcPr>
          <w:p>
            <w:pPr>
              <w:spacing w:after="0"/>
              <w:rPr>
                <w:sz w:val="16"/>
                <w:szCs w:val="16"/>
                <w:color w:val="auto"/>
              </w:rPr>
            </w:pPr>
          </w:p>
        </w:tc>
        <w:tc>
          <w:tcPr>
            <w:tcW w:w="1620" w:type="dxa"/>
            <w:vAlign w:val="bottom"/>
            <w:shd w:val="clear" w:color="auto" w:fill="EAEAEA"/>
          </w:tcPr>
          <w:p>
            <w:pPr>
              <w:jc w:val="right"/>
              <w:ind w:right="548"/>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46%</w:t>
            </w:r>
          </w:p>
        </w:tc>
        <w:tc>
          <w:tcPr>
            <w:tcW w:w="160" w:type="dxa"/>
            <w:vAlign w:val="bottom"/>
            <w:shd w:val="clear" w:color="auto" w:fill="EAEAEA"/>
          </w:tcPr>
          <w:p>
            <w:pPr>
              <w:spacing w:after="0"/>
              <w:rPr>
                <w:sz w:val="16"/>
                <w:szCs w:val="16"/>
                <w:color w:val="auto"/>
              </w:rPr>
            </w:pPr>
          </w:p>
        </w:tc>
        <w:tc>
          <w:tcPr>
            <w:tcW w:w="6220" w:type="dxa"/>
            <w:vAlign w:val="bottom"/>
            <w:gridSpan w:val="3"/>
            <w:shd w:val="clear" w:color="auto" w:fill="EAEAEA"/>
          </w:tcPr>
          <w:p>
            <w:pPr>
              <w:ind w:left="20"/>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Inland River Carriers — Dry and Liquid, Offshore Towing — Dry and</w:t>
            </w:r>
          </w:p>
        </w:tc>
      </w:tr>
      <w:tr>
        <w:trPr>
          <w:trHeight w:val="270"/>
        </w:trPr>
        <w:tc>
          <w:tcPr>
            <w:tcW w:w="2640" w:type="dxa"/>
            <w:vAlign w:val="bottom"/>
            <w:shd w:val="clear" w:color="auto" w:fill="EAEAEA"/>
          </w:tcPr>
          <w:p>
            <w:pPr>
              <w:spacing w:after="0"/>
              <w:rPr>
                <w:sz w:val="23"/>
                <w:szCs w:val="23"/>
                <w:color w:val="auto"/>
              </w:rPr>
            </w:pPr>
          </w:p>
        </w:tc>
        <w:tc>
          <w:tcPr>
            <w:tcW w:w="160" w:type="dxa"/>
            <w:vAlign w:val="bottom"/>
            <w:shd w:val="clear" w:color="auto" w:fill="EAEAEA"/>
          </w:tcPr>
          <w:p>
            <w:pPr>
              <w:spacing w:after="0"/>
              <w:rPr>
                <w:sz w:val="23"/>
                <w:szCs w:val="23"/>
                <w:color w:val="auto"/>
              </w:rPr>
            </w:pPr>
          </w:p>
        </w:tc>
        <w:tc>
          <w:tcPr>
            <w:tcW w:w="1620" w:type="dxa"/>
            <w:vAlign w:val="bottom"/>
            <w:shd w:val="clear" w:color="auto" w:fill="EAEAEA"/>
          </w:tcPr>
          <w:p>
            <w:pPr>
              <w:spacing w:after="0"/>
              <w:rPr>
                <w:sz w:val="23"/>
                <w:szCs w:val="23"/>
                <w:color w:val="auto"/>
              </w:rPr>
            </w:pPr>
          </w:p>
        </w:tc>
        <w:tc>
          <w:tcPr>
            <w:tcW w:w="160" w:type="dxa"/>
            <w:vAlign w:val="bottom"/>
            <w:shd w:val="clear" w:color="auto" w:fill="EAEAEA"/>
          </w:tcPr>
          <w:p>
            <w:pPr>
              <w:spacing w:after="0"/>
              <w:rPr>
                <w:sz w:val="23"/>
                <w:szCs w:val="23"/>
                <w:color w:val="auto"/>
              </w:rPr>
            </w:pPr>
          </w:p>
        </w:tc>
        <w:tc>
          <w:tcPr>
            <w:tcW w:w="2740" w:type="dxa"/>
            <w:vAlign w:val="bottom"/>
            <w:shd w:val="clear" w:color="auto" w:fill="EAEAEA"/>
          </w:tcPr>
          <w:p>
            <w:pPr>
              <w:ind w:left="20"/>
              <w:spacing w:after="0"/>
              <w:rPr>
                <w:sz w:val="20"/>
                <w:szCs w:val="20"/>
                <w:color w:val="auto"/>
              </w:rPr>
            </w:pPr>
            <w:r>
              <w:rPr>
                <w:rFonts w:ascii="Times New Roman" w:cs="Times New Roman" w:eastAsia="Times New Roman" w:hAnsi="Times New Roman"/>
                <w:sz w:val="20"/>
                <w:szCs w:val="20"/>
                <w:color w:val="auto"/>
                <w:w w:val="98"/>
                <w:shd w:val="clear" w:color="auto" w:fill="EAEAEA"/>
              </w:rPr>
              <w:t>Liquid, Offshore Oilfield Services</w:t>
            </w:r>
          </w:p>
        </w:tc>
        <w:tc>
          <w:tcPr>
            <w:tcW w:w="320" w:type="dxa"/>
            <w:vAlign w:val="bottom"/>
            <w:shd w:val="clear" w:color="auto" w:fill="EAEAEA"/>
          </w:tcPr>
          <w:p>
            <w:pPr>
              <w:spacing w:after="0"/>
              <w:rPr>
                <w:sz w:val="23"/>
                <w:szCs w:val="23"/>
                <w:color w:val="auto"/>
              </w:rPr>
            </w:pPr>
          </w:p>
        </w:tc>
        <w:tc>
          <w:tcPr>
            <w:tcW w:w="31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Drilling Rigs &amp; Supply Boats, Harbor</w:t>
            </w:r>
          </w:p>
        </w:tc>
      </w:tr>
      <w:tr>
        <w:trPr>
          <w:trHeight w:val="230"/>
        </w:trPr>
        <w:tc>
          <w:tcPr>
            <w:tcW w:w="26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6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060" w:type="dxa"/>
            <w:vAlign w:val="bottom"/>
            <w:gridSpan w:val="2"/>
            <w:shd w:val="clear" w:color="auto" w:fill="EAEAEA"/>
          </w:tcPr>
          <w:p>
            <w:pPr>
              <w:ind w:left="20"/>
              <w:spacing w:after="0"/>
              <w:rPr>
                <w:sz w:val="20"/>
                <w:szCs w:val="20"/>
                <w:color w:val="auto"/>
              </w:rPr>
            </w:pPr>
            <w:r>
              <w:rPr>
                <w:rFonts w:ascii="Times New Roman" w:cs="Times New Roman" w:eastAsia="Times New Roman" w:hAnsi="Times New Roman"/>
                <w:sz w:val="20"/>
                <w:szCs w:val="20"/>
                <w:color w:val="auto"/>
                <w:shd w:val="clear" w:color="auto" w:fill="EAEAEA"/>
              </w:rPr>
              <w:t>Towing, Dredging, Great Lakes Ore</w:t>
            </w:r>
          </w:p>
        </w:tc>
        <w:tc>
          <w:tcPr>
            <w:tcW w:w="31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Carriers, Pleasure Crafts, On and Off-</w:t>
            </w:r>
          </w:p>
        </w:tc>
      </w:tr>
      <w:tr>
        <w:trPr>
          <w:trHeight w:val="230"/>
        </w:trPr>
        <w:tc>
          <w:tcPr>
            <w:tcW w:w="26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6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6220" w:type="dxa"/>
            <w:vAlign w:val="bottom"/>
            <w:gridSpan w:val="3"/>
            <w:shd w:val="clear" w:color="auto" w:fill="EAEAEA"/>
          </w:tcPr>
          <w:p>
            <w:pPr>
              <w:ind w:left="20"/>
              <w:spacing w:after="0"/>
              <w:rPr>
                <w:sz w:val="20"/>
                <w:szCs w:val="20"/>
                <w:color w:val="auto"/>
              </w:rPr>
            </w:pPr>
            <w:r>
              <w:rPr>
                <w:rFonts w:ascii="Times New Roman" w:cs="Times New Roman" w:eastAsia="Times New Roman" w:hAnsi="Times New Roman"/>
                <w:sz w:val="20"/>
                <w:szCs w:val="20"/>
                <w:color w:val="auto"/>
                <w:shd w:val="clear" w:color="auto" w:fill="EAEAEA"/>
              </w:rPr>
              <w:t>Highway Transportation, Pumping Stations, Mining</w:t>
            </w:r>
          </w:p>
        </w:tc>
      </w:tr>
      <w:tr>
        <w:trPr>
          <w:trHeight w:val="210"/>
        </w:trPr>
        <w:tc>
          <w:tcPr>
            <w:tcW w:w="26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Power Generation</w:t>
            </w:r>
          </w:p>
        </w:tc>
        <w:tc>
          <w:tcPr>
            <w:tcW w:w="160" w:type="dxa"/>
            <w:vAlign w:val="bottom"/>
          </w:tcPr>
          <w:p>
            <w:pPr>
              <w:spacing w:after="0"/>
              <w:rPr>
                <w:sz w:val="18"/>
                <w:szCs w:val="18"/>
                <w:color w:val="auto"/>
              </w:rPr>
            </w:pPr>
          </w:p>
        </w:tc>
        <w:tc>
          <w:tcPr>
            <w:tcW w:w="1620" w:type="dxa"/>
            <w:vAlign w:val="bottom"/>
          </w:tcPr>
          <w:p>
            <w:pPr>
              <w:jc w:val="right"/>
              <w:ind w:right="548"/>
              <w:spacing w:after="0" w:line="209" w:lineRule="exact"/>
              <w:rPr>
                <w:sz w:val="20"/>
                <w:szCs w:val="20"/>
                <w:color w:val="auto"/>
              </w:rPr>
            </w:pPr>
            <w:r>
              <w:rPr>
                <w:rFonts w:ascii="Times New Roman" w:cs="Times New Roman" w:eastAsia="Times New Roman" w:hAnsi="Times New Roman"/>
                <w:sz w:val="20"/>
                <w:szCs w:val="20"/>
                <w:color w:val="auto"/>
              </w:rPr>
              <w:t>43%</w:t>
            </w:r>
          </w:p>
        </w:tc>
        <w:tc>
          <w:tcPr>
            <w:tcW w:w="160" w:type="dxa"/>
            <w:vAlign w:val="bottom"/>
          </w:tcPr>
          <w:p>
            <w:pPr>
              <w:spacing w:after="0"/>
              <w:rPr>
                <w:sz w:val="18"/>
                <w:szCs w:val="18"/>
                <w:color w:val="auto"/>
              </w:rPr>
            </w:pPr>
          </w:p>
        </w:tc>
        <w:tc>
          <w:tcPr>
            <w:tcW w:w="62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Power Generation &amp; Standby Power Generation Equipment, Power</w:t>
            </w:r>
          </w:p>
        </w:tc>
      </w:tr>
      <w:tr>
        <w:trPr>
          <w:trHeight w:val="250"/>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Generation Rentals &amp; Related Service, Data Centers</w:t>
            </w:r>
          </w:p>
        </w:tc>
      </w:tr>
      <w:tr>
        <w:trPr>
          <w:trHeight w:val="190"/>
        </w:trPr>
        <w:tc>
          <w:tcPr>
            <w:tcW w:w="2640" w:type="dxa"/>
            <w:vAlign w:val="bottom"/>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Oil and Gas</w:t>
            </w:r>
          </w:p>
        </w:tc>
        <w:tc>
          <w:tcPr>
            <w:tcW w:w="160" w:type="dxa"/>
            <w:vAlign w:val="bottom"/>
            <w:shd w:val="clear" w:color="auto" w:fill="EAEAEA"/>
          </w:tcPr>
          <w:p>
            <w:pPr>
              <w:spacing w:after="0"/>
              <w:rPr>
                <w:sz w:val="16"/>
                <w:szCs w:val="16"/>
                <w:color w:val="auto"/>
              </w:rPr>
            </w:pPr>
          </w:p>
        </w:tc>
        <w:tc>
          <w:tcPr>
            <w:tcW w:w="1620" w:type="dxa"/>
            <w:vAlign w:val="bottom"/>
            <w:shd w:val="clear" w:color="auto" w:fill="EAEAEA"/>
          </w:tcPr>
          <w:p>
            <w:pPr>
              <w:jc w:val="right"/>
              <w:ind w:right="548"/>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11%</w:t>
            </w:r>
          </w:p>
        </w:tc>
        <w:tc>
          <w:tcPr>
            <w:tcW w:w="160" w:type="dxa"/>
            <w:vAlign w:val="bottom"/>
            <w:shd w:val="clear" w:color="auto" w:fill="EAEAEA"/>
          </w:tcPr>
          <w:p>
            <w:pPr>
              <w:spacing w:after="0"/>
              <w:rPr>
                <w:sz w:val="16"/>
                <w:szCs w:val="16"/>
                <w:color w:val="auto"/>
              </w:rPr>
            </w:pPr>
          </w:p>
        </w:tc>
        <w:tc>
          <w:tcPr>
            <w:tcW w:w="6220" w:type="dxa"/>
            <w:vAlign w:val="bottom"/>
            <w:gridSpan w:val="3"/>
            <w:shd w:val="clear" w:color="auto" w:fill="EAEAEA"/>
          </w:tcPr>
          <w:p>
            <w:pPr>
              <w:ind w:left="2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Oilfield Services, Oil and Gas Operators and Producers</w:t>
            </w:r>
          </w:p>
        </w:tc>
      </w:tr>
      <w:tr>
        <w:trPr>
          <w:trHeight w:val="40"/>
        </w:trPr>
        <w:tc>
          <w:tcPr>
            <w:tcW w:w="264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162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2740" w:type="dxa"/>
            <w:vAlign w:val="bottom"/>
            <w:shd w:val="clear" w:color="auto" w:fill="EAEAEA"/>
          </w:tcPr>
          <w:p>
            <w:pPr>
              <w:spacing w:after="0"/>
              <w:rPr>
                <w:sz w:val="3"/>
                <w:szCs w:val="3"/>
                <w:color w:val="auto"/>
              </w:rPr>
            </w:pPr>
          </w:p>
        </w:tc>
        <w:tc>
          <w:tcPr>
            <w:tcW w:w="320" w:type="dxa"/>
            <w:vAlign w:val="bottom"/>
            <w:shd w:val="clear" w:color="auto" w:fill="EAEAEA"/>
          </w:tcPr>
          <w:p>
            <w:pPr>
              <w:spacing w:after="0"/>
              <w:rPr>
                <w:sz w:val="3"/>
                <w:szCs w:val="3"/>
                <w:color w:val="auto"/>
              </w:rPr>
            </w:pPr>
          </w:p>
        </w:tc>
        <w:tc>
          <w:tcPr>
            <w:tcW w:w="3160" w:type="dxa"/>
            <w:vAlign w:val="bottom"/>
            <w:shd w:val="clear" w:color="auto" w:fill="EAEAEA"/>
          </w:tcPr>
          <w:p>
            <w:pPr>
              <w:spacing w:after="0"/>
              <w:rPr>
                <w:sz w:val="3"/>
                <w:szCs w:val="3"/>
                <w:color w:val="auto"/>
              </w:rPr>
            </w:pPr>
          </w:p>
        </w:tc>
      </w:tr>
    </w:tbl>
    <w:p>
      <w:pPr>
        <w:spacing w:after="0" w:line="200" w:lineRule="exact"/>
        <w:rPr>
          <w:sz w:val="20"/>
          <w:szCs w:val="20"/>
          <w:color w:val="auto"/>
        </w:rPr>
      </w:pP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10800"/>
          </w:cols>
          <w:pgMar w:left="720" w:top="929" w:right="720" w:bottom="187"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2025 Compared to 2024</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Services Revenues</w:t>
      </w:r>
    </w:p>
    <w:p>
      <w:pPr>
        <w:spacing w:after="0" w:line="199" w:lineRule="exact"/>
        <w:rPr>
          <w:sz w:val="20"/>
          <w:szCs w:val="20"/>
          <w:color w:val="auto"/>
        </w:rPr>
      </w:pPr>
    </w:p>
    <w:p>
      <w:pPr>
        <w:jc w:val="both"/>
        <w:ind w:right="20" w:firstLine="358"/>
        <w:spacing w:after="0" w:line="259" w:lineRule="auto"/>
        <w:rPr>
          <w:sz w:val="20"/>
          <w:szCs w:val="20"/>
          <w:color w:val="auto"/>
        </w:rPr>
      </w:pPr>
      <w:r>
        <w:rPr>
          <w:rFonts w:ascii="Times New Roman" w:cs="Times New Roman" w:eastAsia="Times New Roman" w:hAnsi="Times New Roman"/>
          <w:sz w:val="20"/>
          <w:szCs w:val="20"/>
          <w:color w:val="auto"/>
        </w:rPr>
        <w:t xml:space="preserve">KDS revenues for 2025 increased 6% compared to 2024. In the commercial and industrial market, revenues increased 5% in 2025 compared to 2024 primarily due to </w:t>
      </w:r>
      <w:r>
        <w:rPr>
          <w:rFonts w:ascii="Times New Roman" w:cs="Times New Roman" w:eastAsia="Times New Roman" w:hAnsi="Times New Roman"/>
          <w:sz w:val="19"/>
          <w:szCs w:val="19"/>
          <w:color w:val="auto"/>
        </w:rPr>
        <w:t>higher business levels in marine repair</w:t>
      </w:r>
      <w:r>
        <w:rPr>
          <w:rFonts w:ascii="Times New Roman" w:cs="Times New Roman" w:eastAsia="Times New Roman" w:hAnsi="Times New Roman"/>
          <w:sz w:val="20"/>
          <w:szCs w:val="20"/>
          <w:color w:val="auto"/>
        </w:rPr>
        <w:t>. For both 2025 and 2024, the commercial and industrial market contributed 46% of the distribution and services revenues.</w:t>
      </w:r>
    </w:p>
    <w:p>
      <w:pPr>
        <w:spacing w:after="0" w:line="145" w:lineRule="exact"/>
        <w:rPr>
          <w:sz w:val="20"/>
          <w:szCs w:val="20"/>
          <w:color w:val="auto"/>
        </w:rPr>
      </w:pPr>
    </w:p>
    <w:p>
      <w:pPr>
        <w:jc w:val="both"/>
        <w:ind w:right="20" w:firstLine="358"/>
        <w:spacing w:after="0" w:line="259" w:lineRule="auto"/>
        <w:rPr>
          <w:sz w:val="20"/>
          <w:szCs w:val="20"/>
          <w:color w:val="auto"/>
        </w:rPr>
      </w:pPr>
      <w:r>
        <w:rPr>
          <w:rFonts w:ascii="Times New Roman" w:cs="Times New Roman" w:eastAsia="Times New Roman" w:hAnsi="Times New Roman"/>
          <w:sz w:val="20"/>
          <w:szCs w:val="20"/>
          <w:color w:val="auto"/>
        </w:rPr>
        <w:t xml:space="preserve">In the power generation market, revenues increased 26% compared to 2024 </w:t>
      </w:r>
      <w:r>
        <w:rPr>
          <w:rFonts w:ascii="Times New Roman" w:cs="Times New Roman" w:eastAsia="Times New Roman" w:hAnsi="Times New Roman"/>
          <w:sz w:val="19"/>
          <w:szCs w:val="19"/>
          <w:color w:val="auto"/>
        </w:rPr>
        <w:t>due to increased demand for backup, prime power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critical power applications. For </w:t>
      </w:r>
      <w:r>
        <w:rPr>
          <w:rFonts w:ascii="Times New Roman" w:cs="Times New Roman" w:eastAsia="Times New Roman" w:hAnsi="Times New Roman"/>
          <w:sz w:val="20"/>
          <w:szCs w:val="20"/>
          <w:color w:val="auto"/>
        </w:rPr>
        <w:t>2025 and 2024, the power generation market contributed 43% and 36%, respectively,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distribution and services revenues.</w:t>
      </w:r>
    </w:p>
    <w:p>
      <w:pPr>
        <w:spacing w:after="0" w:line="145" w:lineRule="exact"/>
        <w:rPr>
          <w:sz w:val="20"/>
          <w:szCs w:val="20"/>
          <w:color w:val="auto"/>
        </w:rPr>
      </w:pPr>
    </w:p>
    <w:p>
      <w:pPr>
        <w:jc w:val="both"/>
        <w:ind w:right="20" w:firstLine="365"/>
        <w:spacing w:after="0" w:line="259" w:lineRule="auto"/>
        <w:rPr>
          <w:sz w:val="20"/>
          <w:szCs w:val="20"/>
          <w:color w:val="auto"/>
        </w:rPr>
      </w:pPr>
      <w:r>
        <w:rPr>
          <w:rFonts w:ascii="Times New Roman" w:cs="Times New Roman" w:eastAsia="Times New Roman" w:hAnsi="Times New Roman"/>
          <w:sz w:val="20"/>
          <w:szCs w:val="20"/>
          <w:color w:val="auto"/>
        </w:rPr>
        <w:t>In the oil and gas market, revenues declined 32% compared to 2024 due to lower levels of conventional oilfield activity which resulted in decreased demand for new transmissions and parts, partially offset by deliveries of electric fracturing equipment. For 2025 and 2024, the oil and gas market contributed 11% and 18%, respectively, of the distribution and services revenues.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Services Costs and Expenses</w:t>
      </w:r>
    </w:p>
    <w:p>
      <w:pPr>
        <w:spacing w:after="0" w:line="200" w:lineRule="exact"/>
        <w:rPr>
          <w:sz w:val="20"/>
          <w:szCs w:val="20"/>
          <w:color w:val="auto"/>
        </w:rPr>
      </w:pPr>
    </w:p>
    <w:p>
      <w:pPr>
        <w:jc w:val="both"/>
        <w:ind w:firstLine="359"/>
        <w:spacing w:after="0" w:line="258" w:lineRule="auto"/>
        <w:rPr>
          <w:sz w:val="20"/>
          <w:szCs w:val="20"/>
          <w:color w:val="auto"/>
        </w:rPr>
      </w:pPr>
      <w:r>
        <w:rPr>
          <w:rFonts w:ascii="Times New Roman" w:cs="Times New Roman" w:eastAsia="Times New Roman" w:hAnsi="Times New Roman"/>
          <w:sz w:val="20"/>
          <w:szCs w:val="20"/>
          <w:color w:val="auto"/>
        </w:rPr>
        <w:t>Total costs and expenses for 2025 increased 4% compared to 2024 reflecting higher deliveries of power generation equipment and higher business activity levels in marine repair and salary and wage increases that went into effect July 1, 2025, partially offset by lower on-highway and conventional oilfield activity.</w:t>
      </w:r>
    </w:p>
    <w:p>
      <w:pPr>
        <w:spacing w:after="0" w:line="148"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color w:val="auto"/>
        </w:rPr>
        <w:t>Selling, general and administrative expenses for 2025 increased 4% compared to 2024. The increase reflected higher business activity levels, inflationary cost pressures, including higher medical costs, and salary and wage increases that went into effect July 1, 2025.</w:t>
      </w:r>
    </w:p>
    <w:p>
      <w:pPr>
        <w:spacing w:after="0" w:line="145"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20"/>
          <w:szCs w:val="20"/>
          <w:color w:val="auto"/>
        </w:rPr>
        <w:t>Depreciation and amortization for 2025 increased 21% compared to 2024. The increase was primarily due to capital additions during 2025 and 2024 including additions to the equipment rental fleet.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Services Operating Income and Operating Margins</w:t>
      </w:r>
    </w:p>
    <w:p>
      <w:pPr>
        <w:spacing w:after="0" w:line="200"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 xml:space="preserve">Operating income for KDS for 2025 increased 20% compared to 2024. The operating margin was 9.2% for 2025 compared to 8.0% for 2024. The results reflect </w:t>
      </w:r>
      <w:r>
        <w:rPr>
          <w:rFonts w:ascii="Times New Roman" w:cs="Times New Roman" w:eastAsia="Times New Roman" w:hAnsi="Times New Roman"/>
          <w:sz w:val="19"/>
          <w:szCs w:val="19"/>
          <w:color w:val="auto"/>
        </w:rPr>
        <w:t>increased demand in power generation from data centers and prime power customers, higher marine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repair activity, and deliveries of electric fracturing equipment, partially offset by lower conventional oilfield activity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Corporate Expenses</w:t>
      </w:r>
    </w:p>
    <w:p>
      <w:pPr>
        <w:spacing w:after="0" w:line="204" w:lineRule="exact"/>
        <w:rPr>
          <w:sz w:val="20"/>
          <w:szCs w:val="20"/>
          <w:color w:val="auto"/>
        </w:rPr>
      </w:pPr>
    </w:p>
    <w:p>
      <w:pPr>
        <w:jc w:val="both"/>
        <w:ind w:right="20" w:firstLine="353"/>
        <w:spacing w:after="0" w:line="277" w:lineRule="auto"/>
        <w:rPr>
          <w:sz w:val="20"/>
          <w:szCs w:val="20"/>
          <w:color w:val="auto"/>
        </w:rPr>
      </w:pPr>
      <w:r>
        <w:rPr>
          <w:rFonts w:ascii="Times New Roman" w:cs="Times New Roman" w:eastAsia="Times New Roman" w:hAnsi="Times New Roman"/>
          <w:sz w:val="20"/>
          <w:szCs w:val="20"/>
          <w:color w:val="auto"/>
        </w:rPr>
        <w:t>General corporate expenses for 2025, 2024, and 2023 were $13.7 million, $ 18.8 million and $23.3 million, respectively. General corporate expenses were lower in 2025 compared to 2024 primarily due to lower insurance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Gain on Disposition of Assets</w:t>
      </w:r>
    </w:p>
    <w:p>
      <w:pPr>
        <w:spacing w:after="0" w:line="203" w:lineRule="exact"/>
        <w:rPr>
          <w:sz w:val="20"/>
          <w:szCs w:val="20"/>
          <w:color w:val="auto"/>
        </w:rPr>
      </w:pPr>
    </w:p>
    <w:p>
      <w:pPr>
        <w:ind w:right="80" w:firstLine="359"/>
        <w:spacing w:after="0" w:line="279" w:lineRule="auto"/>
        <w:rPr>
          <w:sz w:val="20"/>
          <w:szCs w:val="20"/>
          <w:color w:val="auto"/>
        </w:rPr>
      </w:pPr>
      <w:r>
        <w:rPr>
          <w:rFonts w:ascii="Times New Roman" w:cs="Times New Roman" w:eastAsia="Times New Roman" w:hAnsi="Times New Roman"/>
          <w:sz w:val="20"/>
          <w:szCs w:val="20"/>
          <w:color w:val="auto"/>
        </w:rPr>
        <w:t>The Company reported net gains on disposition of assets of $4.8 million, $2.2 million, and $5.0 million in 2025, 2024, and 2023 respectively. The net gains were predominantly from the sales or retirements of marine equipment.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Expenses</w:t>
      </w:r>
    </w:p>
    <w:p>
      <w:pPr>
        <w:spacing w:after="0" w:line="203" w:lineRule="exact"/>
        <w:rPr>
          <w:sz w:val="20"/>
          <w:szCs w:val="20"/>
          <w:color w:val="auto"/>
        </w:rPr>
      </w:pPr>
    </w:p>
    <w:p>
      <w:pPr>
        <w:ind w:right="20" w:firstLine="354"/>
        <w:spacing w:after="0" w:line="278" w:lineRule="auto"/>
        <w:rPr>
          <w:sz w:val="20"/>
          <w:szCs w:val="20"/>
          <w:color w:val="auto"/>
        </w:rPr>
      </w:pPr>
      <w:r>
        <w:rPr>
          <w:rFonts w:ascii="Times New Roman" w:cs="Times New Roman" w:eastAsia="Times New Roman" w:hAnsi="Times New Roman"/>
          <w:sz w:val="20"/>
          <w:szCs w:val="20"/>
          <w:color w:val="auto"/>
        </w:rPr>
        <w:t>The following table sets forth a year over year comparison of impairments and other charges, other income, noncontrolling interests, and interest expense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vMerge w:val="continue"/>
          </w:tcPr>
          <w:p>
            <w:pPr>
              <w:spacing w:after="0"/>
              <w:rPr>
                <w:sz w:val="12"/>
                <w:szCs w:val="12"/>
                <w:color w:val="auto"/>
              </w:rPr>
            </w:pPr>
          </w:p>
        </w:tc>
        <w:tc>
          <w:tcPr>
            <w:tcW w:w="1780" w:type="dxa"/>
            <w:vAlign w:val="bottom"/>
            <w:gridSpan w:val="10"/>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36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00" w:type="dxa"/>
            <w:vAlign w:val="bottom"/>
            <w:vMerge w:val="restart"/>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3980" w:type="dxa"/>
            <w:vAlign w:val="bottom"/>
            <w:tcBorders>
              <w:bottom w:val="single" w:sz="8" w:color="EAEAEA"/>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EAEAEA"/>
            </w:tcBorders>
          </w:tcPr>
          <w:p>
            <w:pPr>
              <w:spacing w:after="0"/>
              <w:rPr>
                <w:sz w:val="12"/>
                <w:szCs w:val="12"/>
                <w:color w:val="auto"/>
              </w:rPr>
            </w:pPr>
          </w:p>
        </w:tc>
        <w:tc>
          <w:tcPr>
            <w:tcW w:w="4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9"/>
              </w:rPr>
              <w:t>% Change</w:t>
            </w:r>
          </w:p>
        </w:tc>
        <w:tc>
          <w:tcPr>
            <w:tcW w:w="1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EAEAEA"/>
            </w:tcBorders>
          </w:tcPr>
          <w:p>
            <w:pPr>
              <w:spacing w:after="0"/>
              <w:rPr>
                <w:sz w:val="12"/>
                <w:szCs w:val="12"/>
                <w:color w:val="auto"/>
              </w:rPr>
            </w:pPr>
          </w:p>
        </w:tc>
        <w:tc>
          <w:tcPr>
            <w:tcW w:w="80" w:type="dxa"/>
            <w:vAlign w:val="bottom"/>
            <w:tcBorders>
              <w:bottom w:val="single" w:sz="8" w:color="EAEAEA"/>
            </w:tcBorders>
          </w:tcPr>
          <w:p>
            <w:pPr>
              <w:spacing w:after="0"/>
              <w:rPr>
                <w:sz w:val="12"/>
                <w:szCs w:val="12"/>
                <w:color w:val="auto"/>
              </w:rPr>
            </w:pPr>
          </w:p>
        </w:tc>
        <w:tc>
          <w:tcPr>
            <w:tcW w:w="100" w:type="dxa"/>
            <w:vAlign w:val="bottom"/>
            <w:tcBorders>
              <w:bottom w:val="single" w:sz="8" w:color="EAEAEA"/>
            </w:tcBorders>
          </w:tcPr>
          <w:p>
            <w:pPr>
              <w:spacing w:after="0"/>
              <w:rPr>
                <w:sz w:val="12"/>
                <w:szCs w:val="12"/>
                <w:color w:val="auto"/>
              </w:rPr>
            </w:pPr>
          </w:p>
        </w:tc>
        <w:tc>
          <w:tcPr>
            <w:tcW w:w="40" w:type="dxa"/>
            <w:vAlign w:val="bottom"/>
            <w:tcBorders>
              <w:bottom w:val="single" w:sz="8" w:color="EAEAEA"/>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3"/>
              </w:rPr>
              <w:t>% Change</w:t>
            </w:r>
          </w:p>
        </w:tc>
        <w:tc>
          <w:tcPr>
            <w:tcW w:w="1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EAEAE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980" w:type="dxa"/>
            <w:vAlign w:val="bottom"/>
            <w:tcBorders>
              <w:bottom w:val="single" w:sz="8" w:color="EAEAEA"/>
            </w:tcBorders>
            <w:shd w:val="clear" w:color="auto" w:fill="EAEAEA"/>
          </w:tcPr>
          <w:p>
            <w:pPr>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Impairments</w:t>
            </w:r>
          </w:p>
        </w:tc>
        <w:tc>
          <w:tcPr>
            <w:tcW w:w="240" w:type="dxa"/>
            <w:vAlign w:val="bottom"/>
            <w:tcBorders>
              <w:bottom w:val="single" w:sz="8" w:color="EAEAEA"/>
            </w:tcBorders>
            <w:shd w:val="clear" w:color="auto" w:fill="EAEAEA"/>
          </w:tcPr>
          <w:p>
            <w:pPr>
              <w:jc w:val="right"/>
              <w:ind w:right="7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4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40" w:type="dxa"/>
            <w:vAlign w:val="bottom"/>
            <w:tcBorders>
              <w:bottom w:val="single" w:sz="8" w:color="EAEAEA"/>
            </w:tcBorders>
            <w:gridSpan w:val="3"/>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(56,303</w:t>
            </w:r>
          </w:p>
        </w:tc>
        <w:tc>
          <w:tcPr>
            <w:tcW w:w="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60" w:type="dxa"/>
            <w:vAlign w:val="bottom"/>
            <w:tcBorders>
              <w:bottom w:val="single" w:sz="8" w:color="EAEAEA"/>
            </w:tcBorders>
            <w:gridSpan w:val="2"/>
            <w:shd w:val="clear" w:color="auto" w:fill="EAEAEA"/>
          </w:tcPr>
          <w:p>
            <w:pPr>
              <w:jc w:val="right"/>
              <w:ind w:right="40"/>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(100</w:t>
            </w:r>
          </w:p>
        </w:tc>
        <w:tc>
          <w:tcPr>
            <w:tcW w:w="220" w:type="dxa"/>
            <w:vAlign w:val="bottom"/>
            <w:tcBorders>
              <w:bottom w:val="single" w:sz="8" w:color="EAEAEA"/>
            </w:tcBorders>
            <w:shd w:val="clear" w:color="auto" w:fill="EAEAEA"/>
          </w:tcPr>
          <w:p>
            <w:pPr>
              <w:spacing w:after="0" w:line="211" w:lineRule="exact"/>
              <w:rPr>
                <w:sz w:val="20"/>
                <w:szCs w:val="20"/>
                <w:color w:val="auto"/>
              </w:rPr>
            </w:pPr>
            <w:r>
              <w:rPr>
                <w:rFonts w:ascii="Times New Roman" w:cs="Times New Roman" w:eastAsia="Times New Roman" w:hAnsi="Times New Roman"/>
                <w:sz w:val="20"/>
                <w:szCs w:val="20"/>
                <w:color w:val="auto"/>
                <w:w w:val="85"/>
                <w:shd w:val="clear" w:color="auto" w:fill="EAEAEA"/>
              </w:rPr>
              <w:t>)%</w:t>
            </w: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jc w:val="right"/>
              <w:ind w:right="7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6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40" w:type="dxa"/>
            <w:vAlign w:val="bottom"/>
            <w:tcBorders>
              <w:bottom w:val="single" w:sz="8" w:color="EAEAEA"/>
            </w:tcBorders>
            <w:gridSpan w:val="2"/>
            <w:shd w:val="clear" w:color="auto" w:fill="EAEAEA"/>
          </w:tcPr>
          <w:p>
            <w:pPr>
              <w:jc w:val="right"/>
              <w:ind w:right="20"/>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(N/A)</w:t>
            </w:r>
          </w:p>
        </w:tc>
        <w:tc>
          <w:tcPr>
            <w:tcW w:w="30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12,795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68</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24"/>
        </w:trPr>
        <w:tc>
          <w:tcPr>
            <w:tcW w:w="3980" w:type="dxa"/>
            <w:vAlign w:val="bottom"/>
            <w:tcBorders>
              <w:bottom w:val="single" w:sz="8" w:color="EAEAEA"/>
            </w:tcBorders>
            <w:shd w:val="clear" w:color="auto" w:fill="EAEAEA"/>
          </w:tcPr>
          <w:p>
            <w:pPr>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Noncontrolling interests</w:t>
            </w:r>
          </w:p>
        </w:tc>
        <w:tc>
          <w:tcPr>
            <w:tcW w:w="240" w:type="dxa"/>
            <w:vAlign w:val="bottom"/>
            <w:tcBorders>
              <w:bottom w:val="single" w:sz="8" w:color="EAEAEA"/>
            </w:tcBorders>
            <w:shd w:val="clear" w:color="auto" w:fill="EAEAEA"/>
          </w:tcPr>
          <w:p>
            <w:pPr>
              <w:jc w:val="right"/>
              <w:ind w:right="7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4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87"/>
                <w:shd w:val="clear" w:color="auto" w:fill="EAEAEA"/>
              </w:rPr>
              <w:t>(846</w:t>
            </w:r>
          </w:p>
        </w:tc>
        <w:tc>
          <w:tcPr>
            <w:tcW w:w="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ind w:right="2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660" w:type="dxa"/>
            <w:vAlign w:val="bottom"/>
            <w:tcBorders>
              <w:bottom w:val="single" w:sz="8" w:color="EAEAEA"/>
            </w:tcBorders>
            <w:shd w:val="clear" w:color="auto" w:fill="EAEAEA"/>
          </w:tcPr>
          <w:p>
            <w:pPr>
              <w:spacing w:after="0"/>
              <w:rPr>
                <w:sz w:val="19"/>
                <w:szCs w:val="19"/>
                <w:color w:val="auto"/>
              </w:rPr>
            </w:pPr>
          </w:p>
        </w:tc>
        <w:tc>
          <w:tcPr>
            <w:tcW w:w="380" w:type="dxa"/>
            <w:vAlign w:val="bottom"/>
            <w:tcBorders>
              <w:bottom w:val="single" w:sz="8" w:color="EAEAEA"/>
            </w:tcBorders>
            <w:gridSpan w:val="2"/>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92"/>
                <w:shd w:val="clear" w:color="auto" w:fill="EAEAEA"/>
              </w:rPr>
              <w:t>(189</w:t>
            </w:r>
          </w:p>
        </w:tc>
        <w:tc>
          <w:tcPr>
            <w:tcW w:w="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60" w:type="dxa"/>
            <w:vAlign w:val="bottom"/>
            <w:tcBorders>
              <w:bottom w:val="single" w:sz="8" w:color="EAEAEA"/>
            </w:tcBorders>
            <w:gridSpan w:val="2"/>
            <w:shd w:val="clear" w:color="auto" w:fill="EAEAEA"/>
          </w:tcPr>
          <w:p>
            <w:pPr>
              <w:jc w:val="right"/>
              <w:ind w:right="4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348</w:t>
            </w:r>
          </w:p>
        </w:tc>
        <w:tc>
          <w:tcPr>
            <w:tcW w:w="220" w:type="dxa"/>
            <w:vAlign w:val="bottom"/>
            <w:tcBorders>
              <w:bottom w:val="single" w:sz="8" w:color="EAEAEA"/>
            </w:tcBorders>
            <w:shd w:val="clear" w:color="auto" w:fill="EAEAEA"/>
          </w:tcPr>
          <w:p>
            <w:pPr>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w:t>
            </w:r>
          </w:p>
        </w:tc>
        <w:tc>
          <w:tcPr>
            <w:tcW w:w="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jc w:val="right"/>
              <w:ind w:right="7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6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shd w:val="clear" w:color="auto" w:fill="EAEAEA"/>
              </w:rPr>
              <w:t>30</w:t>
            </w:r>
          </w:p>
        </w:tc>
        <w:tc>
          <w:tcPr>
            <w:tcW w:w="1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40" w:type="dxa"/>
            <w:vAlign w:val="bottom"/>
            <w:tcBorders>
              <w:bottom w:val="single" w:sz="8" w:color="EAEAEA"/>
            </w:tcBorders>
            <w:gridSpan w:val="2"/>
            <w:shd w:val="clear" w:color="auto" w:fill="EAEAEA"/>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730</w:t>
            </w:r>
          </w:p>
        </w:tc>
        <w:tc>
          <w:tcPr>
            <w:tcW w:w="300" w:type="dxa"/>
            <w:vAlign w:val="bottom"/>
            <w:tcBorders>
              <w:bottom w:val="single" w:sz="8" w:color="EAEAEA"/>
            </w:tcBorders>
            <w:shd w:val="clear" w:color="auto" w:fill="EAEAEA"/>
          </w:tcPr>
          <w:p>
            <w:pPr>
              <w:jc w:val="right"/>
              <w:ind w:right="40"/>
              <w:spacing w:after="0" w:line="203"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0" w:type="dxa"/>
            <w:vAlign w:val="bottom"/>
          </w:tcPr>
          <w:p>
            <w:pPr>
              <w:spacing w:after="0"/>
              <w:rPr>
                <w:sz w:val="1"/>
                <w:szCs w:val="1"/>
                <w:color w:val="auto"/>
              </w:rPr>
            </w:pPr>
          </w:p>
        </w:tc>
      </w:tr>
      <w:tr>
        <w:trPr>
          <w:trHeight w:val="268"/>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(46,327 )</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(49,129 )</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(6 )%</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(52,008)</w:t>
            </w:r>
          </w:p>
        </w:tc>
        <w:tc>
          <w:tcPr>
            <w:tcW w:w="120" w:type="dxa"/>
            <w:vAlign w:val="bottom"/>
          </w:tcPr>
          <w:p>
            <w:pPr>
              <w:spacing w:after="0"/>
              <w:rPr>
                <w:sz w:val="23"/>
                <w:szCs w:val="23"/>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-791845</wp:posOffset>
            </wp:positionV>
            <wp:extent cx="417131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
                      <a:extLst>
                        <a:ext uri="{28A0092B-C50C-407E-A947-70E740481C1C}"/>
                      </a:extLst>
                    </a:blip>
                    <a:srcRect/>
                    <a:stretch>
                      <a:fillRect/>
                    </a:stretch>
                  </pic:blipFill>
                  <pic:spPr bwMode="auto">
                    <a:xfrm>
                      <a:off x="0" y="0"/>
                      <a:ext cx="4171315" cy="34925"/>
                    </a:xfrm>
                    <a:prstGeom prst="rect">
                      <a:avLst/>
                    </a:prstGeom>
                    <a:noFill/>
                  </pic:spPr>
                </pic:pic>
              </a:graphicData>
            </a:graphic>
          </wp:anchor>
        </w:drawing>
      </w:r>
    </w:p>
    <w:p>
      <w:pPr>
        <w:sectPr>
          <w:pgSz w:w="12240" w:h="15840" w:orient="portrait"/>
          <w:cols w:equalWidth="0" w:num="1">
            <w:col w:w="10820"/>
          </w:cols>
          <w:pgMar w:left="720" w:top="926" w:right="70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20"/>
          </w:cols>
          <w:pgMar w:left="720" w:top="926" w:right="700" w:bottom="176" w:gutter="0" w:footer="0" w:header="0"/>
          <w:type w:val="continuous"/>
        </w:sectPr>
      </w:pPr>
    </w:p>
    <w:bookmarkStart w:id="54" w:name="page55"/>
    <w:bookmarkEnd w:id="54"/>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Impairments</w:t>
      </w:r>
    </w:p>
    <w:p>
      <w:pPr>
        <w:spacing w:after="0" w:line="200"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color w:val="auto"/>
        </w:rPr>
        <w:t>For 2024, impairments included a $56.3 million before taxes, $43.0 million after taxes, or $0.74 per share non-cash impairment charge in the KDS segment primarily associated with conventional diesel fracturing equipment inventory.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200"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color w:val="auto"/>
        </w:rPr>
        <w:t>Other income for 2025, 2024, and 2023 includes income of $18.2 million, $10.2 million and $4.8 million, respectively, for all components of net benefit costs except the service cost component related to the Company’s defined benefit plans.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average debt and average interest rate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6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800" w:type="dxa"/>
            <w:vAlign w:val="bottom"/>
            <w:gridSpan w:val="6"/>
          </w:tcPr>
          <w:p>
            <w:pP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bottom w:val="single" w:sz="8" w:color="EAEAEA"/>
            </w:tcBorders>
          </w:tcPr>
          <w:p>
            <w:pPr>
              <w:spacing w:after="0"/>
              <w:rPr>
                <w:sz w:val="16"/>
                <w:szCs w:val="16"/>
                <w:color w:val="auto"/>
              </w:rPr>
            </w:pPr>
          </w:p>
        </w:tc>
        <w:tc>
          <w:tcPr>
            <w:tcW w:w="16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bottom w:val="single" w:sz="8" w:color="EAEAEA"/>
            </w:tcBorders>
          </w:tcPr>
          <w:p>
            <w:pPr>
              <w:spacing w:after="0"/>
              <w:rPr>
                <w:sz w:val="16"/>
                <w:szCs w:val="16"/>
                <w:color w:val="auto"/>
              </w:rPr>
            </w:pPr>
          </w:p>
        </w:tc>
        <w:tc>
          <w:tcPr>
            <w:tcW w:w="100" w:type="dxa"/>
            <w:vAlign w:val="bottom"/>
            <w:tcBorders>
              <w:bottom w:val="single" w:sz="8" w:color="EAEAEA"/>
            </w:tcBorders>
          </w:tcPr>
          <w:p>
            <w:pPr>
              <w:spacing w:after="0"/>
              <w:rPr>
                <w:sz w:val="16"/>
                <w:szCs w:val="16"/>
                <w:color w:val="auto"/>
              </w:rPr>
            </w:pPr>
          </w:p>
        </w:tc>
        <w:tc>
          <w:tcPr>
            <w:tcW w:w="6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00" w:type="dxa"/>
            <w:vAlign w:val="bottom"/>
            <w:tcBorders>
              <w:bottom w:val="single" w:sz="8" w:color="EAEAEA"/>
            </w:tcBorders>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Average debt</w:t>
            </w: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10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1,041,670</w:t>
            </w:r>
          </w:p>
        </w:tc>
        <w:tc>
          <w:tcPr>
            <w:tcW w:w="6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100" w:type="dxa"/>
            <w:vAlign w:val="bottom"/>
            <w:tcBorders>
              <w:bottom w:val="single" w:sz="8" w:color="EAEAEA"/>
            </w:tcBorders>
            <w:shd w:val="clear" w:color="auto" w:fill="EAEAEA"/>
          </w:tcPr>
          <w:p>
            <w:pPr>
              <w:ind w:left="320"/>
              <w:spacing w:after="0" w:line="197" w:lineRule="exact"/>
              <w:rPr>
                <w:sz w:val="20"/>
                <w:szCs w:val="20"/>
                <w:color w:val="auto"/>
              </w:rPr>
            </w:pPr>
            <w:r>
              <w:rPr>
                <w:rFonts w:ascii="Times New Roman" w:cs="Times New Roman" w:eastAsia="Times New Roman" w:hAnsi="Times New Roman"/>
                <w:sz w:val="20"/>
                <w:szCs w:val="20"/>
                <w:color w:val="auto"/>
                <w:w w:val="94"/>
                <w:shd w:val="clear" w:color="auto" w:fill="EAEAEA"/>
              </w:rPr>
              <w:t>1,025,644</w:t>
            </w:r>
          </w:p>
        </w:tc>
        <w:tc>
          <w:tcPr>
            <w:tcW w:w="2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100" w:type="dxa"/>
            <w:vAlign w:val="bottom"/>
            <w:tcBorders>
              <w:bottom w:val="single" w:sz="8" w:color="EAEAEA"/>
            </w:tcBorders>
            <w:shd w:val="clear" w:color="auto" w:fill="EAEAEA"/>
          </w:tcPr>
          <w:p>
            <w:pPr>
              <w:ind w:left="340"/>
              <w:spacing w:after="0" w:line="197" w:lineRule="exact"/>
              <w:rPr>
                <w:sz w:val="20"/>
                <w:szCs w:val="20"/>
                <w:color w:val="auto"/>
              </w:rPr>
            </w:pPr>
            <w:r>
              <w:rPr>
                <w:rFonts w:ascii="Times New Roman" w:cs="Times New Roman" w:eastAsia="Times New Roman" w:hAnsi="Times New Roman"/>
                <w:sz w:val="20"/>
                <w:szCs w:val="20"/>
                <w:color w:val="auto"/>
                <w:w w:val="92"/>
                <w:shd w:val="clear" w:color="auto" w:fill="EAEAEA"/>
              </w:rPr>
              <w:t>1,088,851</w:t>
            </w:r>
          </w:p>
        </w:tc>
        <w:tc>
          <w:tcPr>
            <w:tcW w:w="2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Average interest rate</w:t>
            </w:r>
          </w:p>
        </w:tc>
        <w:tc>
          <w:tcPr>
            <w:tcW w:w="8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4.7%</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-463550</wp:posOffset>
            </wp:positionV>
            <wp:extent cx="275336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0">
                      <a:extLst>
                        <a:ext uri="{28A0092B-C50C-407E-A947-70E740481C1C}"/>
                      </a:extLst>
                    </a:blip>
                    <a:srcRect/>
                    <a:stretch>
                      <a:fillRect/>
                    </a:stretch>
                  </pic:blipFill>
                  <pic:spPr bwMode="auto">
                    <a:xfrm>
                      <a:off x="0" y="0"/>
                      <a:ext cx="2753360" cy="34925"/>
                    </a:xfrm>
                    <a:prstGeom prst="rect">
                      <a:avLst/>
                    </a:prstGeom>
                    <a:noFill/>
                  </pic:spPr>
                </pic:pic>
              </a:graphicData>
            </a:graphic>
          </wp:anchor>
        </w:drawing>
      </w:r>
    </w:p>
    <w:p>
      <w:pPr>
        <w:spacing w:after="0" w:line="153" w:lineRule="exact"/>
        <w:rPr>
          <w:sz w:val="20"/>
          <w:szCs w:val="20"/>
          <w:color w:val="auto"/>
        </w:rPr>
      </w:pPr>
    </w:p>
    <w:p>
      <w:pPr>
        <w:jc w:val="both"/>
        <w:ind w:firstLine="364"/>
        <w:spacing w:after="0" w:line="259" w:lineRule="auto"/>
        <w:rPr>
          <w:sz w:val="20"/>
          <w:szCs w:val="20"/>
          <w:color w:val="auto"/>
        </w:rPr>
      </w:pPr>
      <w:r>
        <w:rPr>
          <w:rFonts w:ascii="Times New Roman" w:cs="Times New Roman" w:eastAsia="Times New Roman" w:hAnsi="Times New Roman"/>
          <w:sz w:val="20"/>
          <w:szCs w:val="20"/>
          <w:color w:val="auto"/>
        </w:rPr>
        <w:t xml:space="preserve">Interest expense for 2025 decreased 6% compared to 2024, primarily due to a lower average interest rate, partially offset by higher average debt outstanding during 2025. </w:t>
      </w:r>
      <w:r>
        <w:rPr>
          <w:rFonts w:ascii="Times New Roman" w:cs="Times New Roman" w:eastAsia="Times New Roman" w:hAnsi="Times New Roman"/>
          <w:sz w:val="19"/>
          <w:szCs w:val="19"/>
          <w:color w:val="auto"/>
        </w:rPr>
        <w:t>Interest expense for 2025 excludes capitalized interest of $1.0 million. There was no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capitalized interest excluded from interest expense during 2024 and 2023.</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Provision for Taxes on Income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Provision for taxes on income for 2025 increased 53% compared to 2024, primarily due to improved earnings before taxes on</w:t>
      </w:r>
    </w:p>
    <w:p>
      <w:pPr>
        <w:spacing w:after="0" w:line="37" w:lineRule="exact"/>
        <w:rPr>
          <w:sz w:val="20"/>
          <w:szCs w:val="20"/>
          <w:color w:val="auto"/>
        </w:rPr>
      </w:pPr>
    </w:p>
    <w:p>
      <w:pPr>
        <w:jc w:val="both"/>
        <w:ind w:firstLine="4"/>
        <w:spacing w:after="0"/>
        <w:rPr>
          <w:sz w:val="20"/>
          <w:szCs w:val="20"/>
          <w:color w:val="auto"/>
        </w:rPr>
      </w:pPr>
      <w:r>
        <w:rPr>
          <w:rFonts w:ascii="Times New Roman" w:cs="Times New Roman" w:eastAsia="Times New Roman" w:hAnsi="Times New Roman"/>
          <w:sz w:val="20"/>
          <w:szCs w:val="20"/>
          <w:color w:val="auto"/>
        </w:rPr>
        <w:t>income as a result of increased business activity levels. The Company’s 2024 results also included a $10.9 million one-time deferred tax credit related to a change in Louisiana tax law and a deferred tax credit of $13.3 million related to the KDS impairment charge</w:t>
      </w:r>
    </w:p>
    <w:p>
      <w:pPr>
        <w:spacing w:after="0" w:line="20" w:lineRule="exact"/>
        <w:rPr>
          <w:sz w:val="20"/>
          <w:szCs w:val="20"/>
          <w:color w:val="auto"/>
        </w:r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Condition, Capital Resources and Liquidity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Balance Sheet</w:t>
      </w:r>
    </w:p>
    <w:p>
      <w:pPr>
        <w:spacing w:after="0" w:line="199" w:lineRule="exact"/>
        <w:rPr>
          <w:sz w:val="20"/>
          <w:szCs w:val="20"/>
          <w:color w:val="auto"/>
        </w:rPr>
      </w:pPr>
    </w:p>
    <w:p>
      <w:pPr>
        <w:jc w:val="both"/>
        <w:ind w:firstLine="358"/>
        <w:spacing w:after="0" w:line="278" w:lineRule="auto"/>
        <w:rPr>
          <w:sz w:val="20"/>
          <w:szCs w:val="20"/>
          <w:color w:val="auto"/>
        </w:rPr>
      </w:pPr>
      <w:r>
        <w:rPr>
          <w:rFonts w:ascii="Times New Roman" w:cs="Times New Roman" w:eastAsia="Times New Roman" w:hAnsi="Times New Roman"/>
          <w:sz w:val="20"/>
          <w:szCs w:val="20"/>
          <w:color w:val="auto"/>
        </w:rPr>
        <w:t>The following table sets forth a year over year comparison of the significant components of the balance sheets (dollars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 w:type="dxa"/>
            <w:vAlign w:val="bottom"/>
            <w:vMerge w:val="restart"/>
          </w:tcPr>
          <w:p>
            <w:pPr>
              <w:spacing w:after="0"/>
              <w:rPr>
                <w:sz w:val="2"/>
                <w:szCs w:val="2"/>
                <w:color w:val="auto"/>
              </w:rPr>
            </w:pPr>
          </w:p>
        </w:tc>
        <w:tc>
          <w:tcPr>
            <w:tcW w:w="3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920" w:type="dxa"/>
            <w:vAlign w:val="bottom"/>
            <w:gridSpan w:val="3"/>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30" w:type="dxa"/>
            <w:vAlign w:val="bottom"/>
            <w:vMerge w:val="continue"/>
          </w:tcPr>
          <w:p>
            <w:pPr>
              <w:spacing w:after="0"/>
              <w:rPr>
                <w:sz w:val="11"/>
                <w:szCs w:val="11"/>
                <w:color w:val="auto"/>
              </w:rPr>
            </w:pPr>
          </w:p>
        </w:tc>
        <w:tc>
          <w:tcPr>
            <w:tcW w:w="30" w:type="dxa"/>
            <w:vAlign w:val="bottom"/>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700" w:type="dxa"/>
            <w:vAlign w:val="bottom"/>
          </w:tcPr>
          <w:p>
            <w:pPr>
              <w:spacing w:after="0"/>
              <w:rPr>
                <w:sz w:val="3"/>
                <w:szCs w:val="3"/>
                <w:color w:val="auto"/>
              </w:rPr>
            </w:pPr>
          </w:p>
        </w:tc>
        <w:tc>
          <w:tcPr>
            <w:tcW w:w="150" w:type="dxa"/>
            <w:vAlign w:val="bottom"/>
            <w:gridSpan w:val="2"/>
            <w:vMerge w:val="restart"/>
          </w:tcPr>
          <w:p>
            <w:pPr>
              <w:spacing w:after="0"/>
              <w:rPr>
                <w:sz w:val="3"/>
                <w:szCs w:val="3"/>
                <w:color w:val="auto"/>
              </w:rPr>
            </w:pPr>
          </w:p>
        </w:tc>
        <w:tc>
          <w:tcPr>
            <w:tcW w:w="3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0" w:type="dxa"/>
            <w:vAlign w:val="bottom"/>
            <w:tcBorders>
              <w:bottom w:val="single" w:sz="8" w:color="EAEAEA"/>
            </w:tcBorders>
          </w:tcPr>
          <w:p>
            <w:pPr>
              <w:spacing w:after="0"/>
              <w:rPr>
                <w:sz w:val="12"/>
                <w:szCs w:val="12"/>
                <w:color w:val="auto"/>
              </w:rPr>
            </w:pPr>
          </w:p>
        </w:tc>
        <w:tc>
          <w:tcPr>
            <w:tcW w:w="3740" w:type="dxa"/>
            <w:vAlign w:val="bottom"/>
            <w:tcBorders>
              <w:bottom w:val="single" w:sz="8" w:color="EAEAEA"/>
            </w:tcBorders>
          </w:tcPr>
          <w:p>
            <w:pPr>
              <w:spacing w:after="0"/>
              <w:rPr>
                <w:sz w:val="12"/>
                <w:szCs w:val="12"/>
                <w:color w:val="auto"/>
              </w:rPr>
            </w:pPr>
          </w:p>
        </w:tc>
        <w:tc>
          <w:tcPr>
            <w:tcW w:w="20" w:type="dxa"/>
            <w:vAlign w:val="bottom"/>
            <w:tcBorders>
              <w:bottom w:val="single" w:sz="8" w:color="EAEAEA"/>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6"/>
              </w:rPr>
              <w:t>% Change</w:t>
            </w:r>
          </w:p>
        </w:tc>
        <w:tc>
          <w:tcPr>
            <w:tcW w:w="150" w:type="dxa"/>
            <w:vAlign w:val="bottom"/>
            <w:tcBorders>
              <w:bottom w:val="single" w:sz="8" w:color="auto"/>
            </w:tcBorders>
            <w:gridSpan w:val="2"/>
            <w:vMerge w:val="continue"/>
          </w:tcPr>
          <w:p>
            <w:pPr>
              <w:spacing w:after="0"/>
              <w:rPr>
                <w:sz w:val="12"/>
                <w:szCs w:val="12"/>
                <w:color w:val="auto"/>
              </w:rPr>
            </w:pPr>
          </w:p>
        </w:tc>
        <w:tc>
          <w:tcPr>
            <w:tcW w:w="3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EAEAEA"/>
            </w:tcBorders>
          </w:tcPr>
          <w:p>
            <w:pPr>
              <w:spacing w:after="0"/>
              <w:rPr>
                <w:sz w:val="12"/>
                <w:szCs w:val="12"/>
                <w:color w:val="auto"/>
              </w:rPr>
            </w:pPr>
          </w:p>
        </w:tc>
        <w:tc>
          <w:tcPr>
            <w:tcW w:w="120" w:type="dxa"/>
            <w:vAlign w:val="bottom"/>
            <w:tcBorders>
              <w:bottom w:val="single" w:sz="8" w:color="EAEAEA"/>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6"/>
              </w:rPr>
              <w:t>% Change</w:t>
            </w:r>
          </w:p>
        </w:tc>
        <w:tc>
          <w:tcPr>
            <w:tcW w:w="1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EAEAEA"/>
            </w:tcBorders>
            <w:vMerge w:val="continue"/>
          </w:tcPr>
          <w:p>
            <w:pPr>
              <w:spacing w:after="0"/>
              <w:rPr>
                <w:sz w:val="12"/>
                <w:szCs w:val="12"/>
                <w:color w:val="auto"/>
              </w:rPr>
            </w:pPr>
          </w:p>
        </w:tc>
        <w:tc>
          <w:tcPr>
            <w:tcW w:w="140" w:type="dxa"/>
            <w:vAlign w:val="bottom"/>
            <w:tcBorders>
              <w:bottom w:val="single" w:sz="8" w:color="EAEAE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4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Assets:</w:t>
            </w: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spacing w:after="0"/>
              <w:rPr>
                <w:sz w:val="17"/>
                <w:szCs w:val="17"/>
                <w:color w:val="auto"/>
              </w:rPr>
            </w:pPr>
          </w:p>
        </w:tc>
        <w:tc>
          <w:tcPr>
            <w:tcW w:w="60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left w:val="single" w:sz="8" w:color="EAEAEA"/>
            </w:tcBorders>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70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30" w:type="dxa"/>
            <w:vAlign w:val="bottom"/>
            <w:tcBorders>
              <w:bottom w:val="single" w:sz="8" w:color="EAEAEA"/>
            </w:tcBorders>
            <w:shd w:val="clear" w:color="auto" w:fill="EAEAEA"/>
          </w:tcPr>
          <w:p>
            <w:pPr>
              <w:spacing w:after="0"/>
              <w:rPr>
                <w:sz w:val="17"/>
                <w:szCs w:val="17"/>
                <w:color w:val="auto"/>
              </w:rPr>
            </w:pPr>
          </w:p>
        </w:tc>
        <w:tc>
          <w:tcPr>
            <w:tcW w:w="3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72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1,077,855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1,068,559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1,135,161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Property and equipment, net</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4,098,058</w:t>
            </w:r>
          </w:p>
        </w:tc>
        <w:tc>
          <w:tcPr>
            <w:tcW w:w="120" w:type="dxa"/>
            <w:vAlign w:val="bottom"/>
            <w:tcBorders>
              <w:left w:val="single" w:sz="8" w:color="EAEAEA"/>
            </w:tcBorders>
            <w:gridSpan w:val="2"/>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92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4,022,966</w:t>
            </w:r>
          </w:p>
        </w:tc>
        <w:tc>
          <w:tcPr>
            <w:tcW w:w="20" w:type="dxa"/>
            <w:vAlign w:val="bottom"/>
            <w:shd w:val="clear" w:color="auto" w:fill="EAEAEA"/>
          </w:tcPr>
          <w:p>
            <w:pPr>
              <w:spacing w:after="0"/>
              <w:rPr>
                <w:sz w:val="20"/>
                <w:szCs w:val="20"/>
                <w:color w:val="auto"/>
              </w:rPr>
            </w:pPr>
          </w:p>
        </w:tc>
        <w:tc>
          <w:tcPr>
            <w:tcW w:w="400" w:type="dxa"/>
            <w:vAlign w:val="bottom"/>
            <w:gridSpan w:val="4"/>
            <w:shd w:val="clear" w:color="auto" w:fill="EAEAEA"/>
          </w:tcPr>
          <w:p>
            <w:pPr>
              <w:spacing w:after="0"/>
              <w:rPr>
                <w:sz w:val="20"/>
                <w:szCs w:val="20"/>
                <w:color w:val="auto"/>
              </w:rPr>
            </w:pPr>
          </w:p>
        </w:tc>
        <w:tc>
          <w:tcPr>
            <w:tcW w:w="700" w:type="dxa"/>
            <w:vAlign w:val="bottom"/>
            <w:shd w:val="clear" w:color="auto" w:fill="EAEAEA"/>
          </w:tcPr>
          <w:p>
            <w:pPr>
              <w:spacing w:after="0"/>
              <w:rPr>
                <w:sz w:val="20"/>
                <w:szCs w:val="20"/>
                <w:color w:val="auto"/>
              </w:rPr>
            </w:pPr>
          </w:p>
        </w:tc>
        <w:tc>
          <w:tcPr>
            <w:tcW w:w="15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w:t>
            </w:r>
          </w:p>
        </w:tc>
        <w:tc>
          <w:tcPr>
            <w:tcW w:w="3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060" w:type="dxa"/>
            <w:vAlign w:val="bottom"/>
            <w:gridSpan w:val="3"/>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3,861,105</w:t>
            </w:r>
          </w:p>
        </w:tc>
        <w:tc>
          <w:tcPr>
            <w:tcW w:w="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20" w:type="dxa"/>
            <w:vAlign w:val="bottom"/>
            <w:shd w:val="clear" w:color="auto" w:fill="EAEAEA"/>
          </w:tcPr>
          <w:p>
            <w:pPr>
              <w:spacing w:after="0"/>
              <w:rPr>
                <w:sz w:val="20"/>
                <w:szCs w:val="20"/>
                <w:color w:val="auto"/>
              </w:rPr>
            </w:pPr>
          </w:p>
        </w:tc>
        <w:tc>
          <w:tcPr>
            <w:tcW w:w="12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EAEAEA"/>
              </w:rPr>
              <w:t>4</w:t>
            </w:r>
          </w:p>
        </w:tc>
        <w:tc>
          <w:tcPr>
            <w:tcW w:w="1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193,276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158,990</w:t>
            </w:r>
          </w:p>
        </w:tc>
        <w:tc>
          <w:tcPr>
            <w:tcW w:w="20" w:type="dxa"/>
            <w:vAlign w:val="bottom"/>
          </w:tcPr>
          <w:p>
            <w:pPr>
              <w:spacing w:after="0"/>
              <w:rPr>
                <w:sz w:val="20"/>
                <w:szCs w:val="20"/>
                <w:color w:val="auto"/>
              </w:rPr>
            </w:pPr>
          </w:p>
        </w:tc>
        <w:tc>
          <w:tcPr>
            <w:tcW w:w="125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152,216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EAEAEA"/>
            </w:tcBorders>
            <w:gridSpan w:val="2"/>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Investment in affiliates</w:t>
            </w: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6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3,188</w:t>
            </w:r>
          </w:p>
        </w:tc>
        <w:tc>
          <w:tcPr>
            <w:tcW w:w="120" w:type="dxa"/>
            <w:vAlign w:val="bottom"/>
            <w:tcBorders>
              <w:left w:val="single" w:sz="8" w:color="EAEAEA"/>
              <w:bottom w:val="single" w:sz="8" w:color="EAEAEA"/>
            </w:tcBorders>
            <w:gridSpan w:val="2"/>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spacing w:after="0"/>
              <w:rPr>
                <w:sz w:val="18"/>
                <w:szCs w:val="18"/>
                <w:color w:val="auto"/>
              </w:rPr>
            </w:pPr>
          </w:p>
        </w:tc>
        <w:tc>
          <w:tcPr>
            <w:tcW w:w="6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2,900</w:t>
            </w:r>
          </w:p>
        </w:tc>
        <w:tc>
          <w:tcPr>
            <w:tcW w:w="20" w:type="dxa"/>
            <w:vAlign w:val="bottom"/>
            <w:tcBorders>
              <w:bottom w:val="single" w:sz="8" w:color="EAEAEA"/>
            </w:tcBorders>
            <w:shd w:val="clear" w:color="auto" w:fill="EAEAEA"/>
          </w:tcPr>
          <w:p>
            <w:pPr>
              <w:spacing w:after="0"/>
              <w:rPr>
                <w:sz w:val="18"/>
                <w:szCs w:val="18"/>
                <w:color w:val="auto"/>
              </w:rPr>
            </w:pPr>
          </w:p>
        </w:tc>
        <w:tc>
          <w:tcPr>
            <w:tcW w:w="400" w:type="dxa"/>
            <w:vAlign w:val="bottom"/>
            <w:tcBorders>
              <w:bottom w:val="single" w:sz="8" w:color="EAEAEA"/>
            </w:tcBorders>
            <w:gridSpan w:val="4"/>
            <w:shd w:val="clear" w:color="auto" w:fill="EAEAEA"/>
          </w:tcPr>
          <w:p>
            <w:pPr>
              <w:spacing w:after="0"/>
              <w:rPr>
                <w:sz w:val="18"/>
                <w:szCs w:val="18"/>
                <w:color w:val="auto"/>
              </w:rPr>
            </w:pPr>
          </w:p>
        </w:tc>
        <w:tc>
          <w:tcPr>
            <w:tcW w:w="700" w:type="dxa"/>
            <w:vAlign w:val="bottom"/>
            <w:tcBorders>
              <w:bottom w:val="single" w:sz="8" w:color="EAEAEA"/>
            </w:tcBorders>
            <w:shd w:val="clear" w:color="auto" w:fill="EAEAEA"/>
          </w:tcPr>
          <w:p>
            <w:pPr>
              <w:spacing w:after="0"/>
              <w:rPr>
                <w:sz w:val="18"/>
                <w:szCs w:val="18"/>
                <w:color w:val="auto"/>
              </w:rPr>
            </w:pPr>
          </w:p>
        </w:tc>
        <w:tc>
          <w:tcPr>
            <w:tcW w:w="15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19"/>
                <w:szCs w:val="19"/>
                <w:color w:val="auto"/>
                <w:w w:val="73"/>
              </w:rPr>
              <w:t>10</w:t>
            </w:r>
          </w:p>
        </w:tc>
        <w:tc>
          <w:tcPr>
            <w:tcW w:w="3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5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2,576</w:t>
            </w:r>
          </w:p>
        </w:tc>
        <w:tc>
          <w:tcPr>
            <w:tcW w:w="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rPr>
              <w:t>13</w:t>
            </w:r>
          </w:p>
        </w:tc>
        <w:tc>
          <w:tcPr>
            <w:tcW w:w="16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438,748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438,748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438,748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EAEAEA"/>
          </w:tcPr>
          <w:p>
            <w:pPr>
              <w:spacing w:after="0"/>
              <w:rPr>
                <w:sz w:val="20"/>
                <w:szCs w:val="20"/>
                <w:color w:val="auto"/>
              </w:rPr>
            </w:pPr>
          </w:p>
        </w:tc>
        <w:tc>
          <w:tcPr>
            <w:tcW w:w="374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Other intangibles, net</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440" w:type="dxa"/>
            <w:vAlign w:val="bottom"/>
            <w:shd w:val="clear" w:color="auto" w:fill="EAEAEA"/>
          </w:tcPr>
          <w:p>
            <w:pPr>
              <w:spacing w:after="0"/>
              <w:rPr>
                <w:sz w:val="20"/>
                <w:szCs w:val="20"/>
                <w:color w:val="auto"/>
              </w:rPr>
            </w:pPr>
          </w:p>
        </w:tc>
        <w:tc>
          <w:tcPr>
            <w:tcW w:w="60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30,165</w:t>
            </w:r>
          </w:p>
        </w:tc>
        <w:tc>
          <w:tcPr>
            <w:tcW w:w="40" w:type="dxa"/>
            <w:vAlign w:val="bottom"/>
            <w:tcBorders>
              <w:left w:val="single" w:sz="8" w:color="EAEAEA"/>
            </w:tcBorders>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62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34,406</w:t>
            </w:r>
          </w:p>
        </w:tc>
        <w:tc>
          <w:tcPr>
            <w:tcW w:w="20" w:type="dxa"/>
            <w:vAlign w:val="bottom"/>
            <w:shd w:val="clear" w:color="auto" w:fill="EAEAEA"/>
          </w:tcPr>
          <w:p>
            <w:pPr>
              <w:spacing w:after="0"/>
              <w:rPr>
                <w:sz w:val="20"/>
                <w:szCs w:val="20"/>
                <w:color w:val="auto"/>
              </w:rPr>
            </w:pPr>
          </w:p>
        </w:tc>
        <w:tc>
          <w:tcPr>
            <w:tcW w:w="400" w:type="dxa"/>
            <w:vAlign w:val="bottom"/>
            <w:gridSpan w:val="4"/>
            <w:shd w:val="clear" w:color="auto" w:fill="EAEAEA"/>
          </w:tcPr>
          <w:p>
            <w:pPr>
              <w:spacing w:after="0"/>
              <w:rPr>
                <w:sz w:val="20"/>
                <w:szCs w:val="20"/>
                <w:color w:val="auto"/>
              </w:rPr>
            </w:pPr>
          </w:p>
        </w:tc>
        <w:tc>
          <w:tcPr>
            <w:tcW w:w="850" w:type="dxa"/>
            <w:vAlign w:val="bottom"/>
            <w:gridSpan w:val="3"/>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(12</w:t>
            </w:r>
          </w:p>
        </w:tc>
        <w:tc>
          <w:tcPr>
            <w:tcW w:w="3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w:t>
            </w:r>
          </w:p>
        </w:tc>
        <w:tc>
          <w:tcPr>
            <w:tcW w:w="1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440" w:type="dxa"/>
            <w:vAlign w:val="bottom"/>
            <w:shd w:val="clear" w:color="auto" w:fill="EAEAEA"/>
          </w:tcPr>
          <w:p>
            <w:pPr>
              <w:spacing w:after="0"/>
              <w:rPr>
                <w:sz w:val="20"/>
                <w:szCs w:val="20"/>
                <w:color w:val="auto"/>
              </w:rPr>
            </w:pPr>
          </w:p>
        </w:tc>
        <w:tc>
          <w:tcPr>
            <w:tcW w:w="62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42,927</w:t>
            </w:r>
          </w:p>
        </w:tc>
        <w:tc>
          <w:tcPr>
            <w:tcW w:w="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84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(20</w:t>
            </w:r>
          </w:p>
        </w:tc>
        <w:tc>
          <w:tcPr>
            <w:tcW w:w="160" w:type="dxa"/>
            <w:vAlign w:val="bottom"/>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14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00" w:type="dxa"/>
            <w:vAlign w:val="bottom"/>
          </w:tcPr>
          <w:p>
            <w:pPr>
              <w:spacing w:after="0"/>
              <w:rPr>
                <w:sz w:val="4"/>
                <w:szCs w:val="4"/>
                <w:color w:val="auto"/>
              </w:rPr>
            </w:pPr>
          </w:p>
        </w:tc>
        <w:tc>
          <w:tcPr>
            <w:tcW w:w="37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restart"/>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50" w:type="dxa"/>
            <w:vAlign w:val="bottom"/>
            <w:gridSpan w:val="7"/>
            <w:vMerge w:val="restart"/>
          </w:tcPr>
          <w:p>
            <w:pPr>
              <w:jc w:val="right"/>
              <w:spacing w:after="0" w:line="220" w:lineRule="exact"/>
              <w:rPr>
                <w:sz w:val="20"/>
                <w:szCs w:val="20"/>
                <w:color w:val="auto"/>
              </w:rPr>
            </w:pPr>
            <w:r>
              <w:rPr>
                <w:rFonts w:ascii="Times New Roman" w:cs="Times New Roman" w:eastAsia="Times New Roman" w:hAnsi="Times New Roman"/>
                <w:sz w:val="20"/>
                <w:szCs w:val="20"/>
                <w:color w:val="auto"/>
              </w:rPr>
              <w:t>33</w:t>
            </w:r>
          </w:p>
        </w:tc>
        <w:tc>
          <w:tcPr>
            <w:tcW w:w="3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spacing w:after="0" w:line="220" w:lineRule="exact"/>
              <w:rPr>
                <w:sz w:val="20"/>
                <w:szCs w:val="20"/>
                <w:color w:val="auto"/>
              </w:rPr>
            </w:pPr>
            <w:r>
              <w:rPr>
                <w:rFonts w:ascii="Times New Roman" w:cs="Times New Roman" w:eastAsia="Times New Roman" w:hAnsi="Times New Roman"/>
                <w:sz w:val="20"/>
                <w:szCs w:val="20"/>
                <w:color w:val="auto"/>
              </w:rPr>
              <w:t>40</w:t>
            </w: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3"/>
              </w:rPr>
              <w:t>166,755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125,383</w:t>
            </w:r>
          </w:p>
        </w:tc>
        <w:tc>
          <w:tcPr>
            <w:tcW w:w="20" w:type="dxa"/>
            <w:vAlign w:val="bottom"/>
            <w:vMerge w:val="continue"/>
          </w:tcPr>
          <w:p>
            <w:pPr>
              <w:spacing w:after="0"/>
              <w:rPr>
                <w:sz w:val="14"/>
                <w:szCs w:val="14"/>
                <w:color w:val="auto"/>
              </w:rPr>
            </w:pPr>
          </w:p>
        </w:tc>
        <w:tc>
          <w:tcPr>
            <w:tcW w:w="1250" w:type="dxa"/>
            <w:vAlign w:val="bottom"/>
            <w:gridSpan w:val="7"/>
            <w:vMerge w:val="continue"/>
          </w:tcPr>
          <w:p>
            <w:pPr>
              <w:spacing w:after="0"/>
              <w:rPr>
                <w:sz w:val="14"/>
                <w:szCs w:val="14"/>
                <w:color w:val="auto"/>
              </w:rPr>
            </w:pPr>
          </w:p>
        </w:tc>
        <w:tc>
          <w:tcPr>
            <w:tcW w:w="3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9"/>
              </w:rPr>
              <w:t>89,464</w:t>
            </w: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3740" w:type="dxa"/>
            <w:vAlign w:val="bottom"/>
            <w:tcBorders>
              <w:bottom w:val="single" w:sz="8" w:color="EAEAE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7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30" w:type="dxa"/>
            <w:vAlign w:val="bottom"/>
            <w:tcBorders>
              <w:bottom w:val="single" w:sz="8" w:color="EAEAEA"/>
            </w:tcBorders>
          </w:tcPr>
          <w:p>
            <w:pPr>
              <w:spacing w:after="0" w:line="20" w:lineRule="exact"/>
              <w:rPr>
                <w:sz w:val="1"/>
                <w:szCs w:val="1"/>
                <w:color w:val="auto"/>
              </w:rPr>
            </w:pPr>
          </w:p>
        </w:tc>
        <w:tc>
          <w:tcPr>
            <w:tcW w:w="30" w:type="dxa"/>
            <w:vAlign w:val="bottom"/>
            <w:tcBorders>
              <w:bottom w:val="single" w:sz="8" w:color="EAEAEA"/>
            </w:tcBorders>
          </w:tcPr>
          <w:p>
            <w:pPr>
              <w:spacing w:after="0" w:line="20" w:lineRule="exact"/>
              <w:rPr>
                <w:sz w:val="1"/>
                <w:szCs w:val="1"/>
                <w:color w:val="auto"/>
              </w:rPr>
            </w:pPr>
          </w:p>
        </w:tc>
        <w:tc>
          <w:tcPr>
            <w:tcW w:w="30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72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Borders>
              <w:bottom w:val="single" w:sz="8" w:color="EAEAEA"/>
            </w:tcBorders>
            <w:shd w:val="clear" w:color="auto" w:fill="EAEAEA"/>
          </w:tcPr>
          <w:p>
            <w:pPr>
              <w:spacing w:after="0"/>
              <w:rPr>
                <w:sz w:val="18"/>
                <w:szCs w:val="18"/>
                <w:color w:val="auto"/>
              </w:rPr>
            </w:pPr>
          </w:p>
        </w:tc>
        <w:tc>
          <w:tcPr>
            <w:tcW w:w="374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1040" w:type="dxa"/>
            <w:vAlign w:val="bottom"/>
            <w:tcBorders>
              <w:bottom w:val="single" w:sz="8" w:color="EAEAEA"/>
            </w:tcBorders>
            <w:gridSpan w:val="2"/>
            <w:shd w:val="clear" w:color="auto" w:fill="EAEAEA"/>
          </w:tcPr>
          <w:p>
            <w:pPr>
              <w:jc w:val="right"/>
              <w:spacing w:after="0" w:line="174" w:lineRule="exact"/>
              <w:rPr>
                <w:sz w:val="20"/>
                <w:szCs w:val="20"/>
                <w:color w:val="auto"/>
              </w:rPr>
            </w:pPr>
            <w:r>
              <w:rPr>
                <w:rFonts w:ascii="Times New Roman" w:cs="Times New Roman" w:eastAsia="Times New Roman" w:hAnsi="Times New Roman"/>
                <w:sz w:val="20"/>
                <w:szCs w:val="20"/>
                <w:color w:val="auto"/>
                <w:shd w:val="clear" w:color="auto" w:fill="EAEAEA"/>
              </w:rPr>
              <w:t>6,008,045</w:t>
            </w:r>
          </w:p>
        </w:tc>
        <w:tc>
          <w:tcPr>
            <w:tcW w:w="40" w:type="dxa"/>
            <w:vAlign w:val="bottom"/>
            <w:tcBorders>
              <w:left w:val="single" w:sz="8" w:color="EAEAEA"/>
            </w:tcBorders>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EAEAEA"/>
            </w:tcBorders>
            <w:shd w:val="clear" w:color="auto" w:fill="EAEAEA"/>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20" w:type="dxa"/>
            <w:vAlign w:val="bottom"/>
            <w:tcBorders>
              <w:bottom w:val="single" w:sz="8" w:color="EAEAEA"/>
            </w:tcBorders>
            <w:gridSpan w:val="2"/>
            <w:shd w:val="clear" w:color="auto" w:fill="EAEAEA"/>
          </w:tcPr>
          <w:p>
            <w:pPr>
              <w:jc w:val="right"/>
              <w:spacing w:after="0" w:line="174" w:lineRule="exact"/>
              <w:rPr>
                <w:sz w:val="20"/>
                <w:szCs w:val="20"/>
                <w:color w:val="auto"/>
              </w:rPr>
            </w:pPr>
            <w:r>
              <w:rPr>
                <w:rFonts w:ascii="Times New Roman" w:cs="Times New Roman" w:eastAsia="Times New Roman" w:hAnsi="Times New Roman"/>
                <w:sz w:val="20"/>
                <w:szCs w:val="20"/>
                <w:color w:val="auto"/>
                <w:shd w:val="clear" w:color="auto" w:fill="EAEAEA"/>
              </w:rPr>
              <w:t>5,851,952</w:t>
            </w:r>
          </w:p>
        </w:tc>
        <w:tc>
          <w:tcPr>
            <w:tcW w:w="20" w:type="dxa"/>
            <w:vAlign w:val="bottom"/>
            <w:tcBorders>
              <w:bottom w:val="single" w:sz="8" w:color="EAEAEA"/>
            </w:tcBorders>
            <w:shd w:val="clear" w:color="auto" w:fill="EAEAEA"/>
          </w:tcPr>
          <w:p>
            <w:pPr>
              <w:spacing w:after="0"/>
              <w:rPr>
                <w:sz w:val="18"/>
                <w:szCs w:val="18"/>
                <w:color w:val="auto"/>
              </w:rPr>
            </w:pPr>
          </w:p>
        </w:tc>
        <w:tc>
          <w:tcPr>
            <w:tcW w:w="1100" w:type="dxa"/>
            <w:vAlign w:val="bottom"/>
            <w:tcBorders>
              <w:bottom w:val="single" w:sz="8" w:color="EAEAEA"/>
            </w:tcBorders>
            <w:gridSpan w:val="5"/>
            <w:shd w:val="clear" w:color="auto" w:fill="EAEAEA"/>
          </w:tcPr>
          <w:p>
            <w:pPr>
              <w:spacing w:after="0"/>
              <w:rPr>
                <w:sz w:val="18"/>
                <w:szCs w:val="18"/>
                <w:color w:val="auto"/>
              </w:rPr>
            </w:pPr>
          </w:p>
        </w:tc>
        <w:tc>
          <w:tcPr>
            <w:tcW w:w="480" w:type="dxa"/>
            <w:vAlign w:val="bottom"/>
            <w:tcBorders>
              <w:bottom w:val="single" w:sz="8" w:color="EAEAEA"/>
            </w:tcBorders>
            <w:gridSpan w:val="4"/>
            <w:shd w:val="clear" w:color="auto" w:fill="EAEAEA"/>
          </w:tcPr>
          <w:p>
            <w:pPr>
              <w:jc w:val="right"/>
              <w:ind w:right="40"/>
              <w:spacing w:after="0" w:line="174" w:lineRule="exact"/>
              <w:rPr>
                <w:sz w:val="20"/>
                <w:szCs w:val="20"/>
                <w:color w:val="auto"/>
              </w:rPr>
            </w:pPr>
            <w:r>
              <w:rPr>
                <w:rFonts w:ascii="Times New Roman" w:cs="Times New Roman" w:eastAsia="Times New Roman" w:hAnsi="Times New Roman"/>
                <w:sz w:val="20"/>
                <w:szCs w:val="20"/>
                <w:color w:val="auto"/>
                <w:shd w:val="clear" w:color="auto" w:fill="EAEAEA"/>
              </w:rPr>
              <w:t>3%</w:t>
            </w:r>
          </w:p>
        </w:tc>
        <w:tc>
          <w:tcPr>
            <w:tcW w:w="1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60" w:type="dxa"/>
            <w:vAlign w:val="bottom"/>
            <w:tcBorders>
              <w:bottom w:val="single" w:sz="8" w:color="EAEAEA"/>
            </w:tcBorders>
            <w:gridSpan w:val="3"/>
            <w:shd w:val="clear" w:color="auto" w:fill="EAEAEA"/>
          </w:tcPr>
          <w:p>
            <w:pPr>
              <w:jc w:val="right"/>
              <w:spacing w:after="0" w:line="174" w:lineRule="exact"/>
              <w:rPr>
                <w:sz w:val="20"/>
                <w:szCs w:val="20"/>
                <w:color w:val="auto"/>
              </w:rPr>
            </w:pPr>
            <w:r>
              <w:rPr>
                <w:rFonts w:ascii="Times New Roman" w:cs="Times New Roman" w:eastAsia="Times New Roman" w:hAnsi="Times New Roman"/>
                <w:sz w:val="20"/>
                <w:szCs w:val="20"/>
                <w:color w:val="auto"/>
                <w:shd w:val="clear" w:color="auto" w:fill="EAEAEA"/>
              </w:rPr>
              <w:t>5,722,197</w:t>
            </w:r>
          </w:p>
        </w:tc>
        <w:tc>
          <w:tcPr>
            <w:tcW w:w="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EAEAEA"/>
            </w:tcBorders>
            <w:gridSpan w:val="2"/>
            <w:shd w:val="clear" w:color="auto" w:fill="EAEAEA"/>
          </w:tcPr>
          <w:p>
            <w:pPr>
              <w:spacing w:after="0"/>
              <w:rPr>
                <w:sz w:val="18"/>
                <w:szCs w:val="18"/>
                <w:color w:val="auto"/>
              </w:rPr>
            </w:pPr>
          </w:p>
        </w:tc>
        <w:tc>
          <w:tcPr>
            <w:tcW w:w="280" w:type="dxa"/>
            <w:vAlign w:val="bottom"/>
            <w:tcBorders>
              <w:bottom w:val="single" w:sz="8" w:color="EAEAEA"/>
            </w:tcBorders>
            <w:gridSpan w:val="2"/>
            <w:shd w:val="clear" w:color="auto" w:fill="EAEAEA"/>
          </w:tcPr>
          <w:p>
            <w:pPr>
              <w:jc w:val="right"/>
              <w:spacing w:after="0" w:line="174" w:lineRule="exact"/>
              <w:rPr>
                <w:sz w:val="20"/>
                <w:szCs w:val="20"/>
                <w:color w:val="auto"/>
              </w:rPr>
            </w:pPr>
            <w:r>
              <w:rPr>
                <w:rFonts w:ascii="Times New Roman" w:cs="Times New Roman" w:eastAsia="Times New Roman" w:hAnsi="Times New Roman"/>
                <w:sz w:val="20"/>
                <w:szCs w:val="20"/>
                <w:color w:val="auto"/>
                <w:w w:val="97"/>
                <w:shd w:val="clear" w:color="auto" w:fill="EAEAEA"/>
              </w:rPr>
              <w:t>2%</w:t>
            </w:r>
          </w:p>
        </w:tc>
        <w:tc>
          <w:tcPr>
            <w:tcW w:w="14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Liabilities and stockholders’ equity:</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440" w:type="dxa"/>
            <w:vAlign w:val="bottom"/>
            <w:shd w:val="clear" w:color="auto" w:fill="EAEAEA"/>
          </w:tcPr>
          <w:p>
            <w:pPr>
              <w:spacing w:after="0"/>
              <w:rPr>
                <w:sz w:val="20"/>
                <w:szCs w:val="20"/>
                <w:color w:val="auto"/>
              </w:rPr>
            </w:pPr>
          </w:p>
        </w:tc>
        <w:tc>
          <w:tcPr>
            <w:tcW w:w="600" w:type="dxa"/>
            <w:vAlign w:val="bottom"/>
            <w:shd w:val="clear" w:color="auto" w:fill="EAEAEA"/>
          </w:tcPr>
          <w:p>
            <w:pPr>
              <w:spacing w:after="0"/>
              <w:rPr>
                <w:sz w:val="20"/>
                <w:szCs w:val="20"/>
                <w:color w:val="auto"/>
              </w:rPr>
            </w:pPr>
          </w:p>
        </w:tc>
        <w:tc>
          <w:tcPr>
            <w:tcW w:w="40" w:type="dxa"/>
            <w:vAlign w:val="bottom"/>
            <w:tcBorders>
              <w:left w:val="single" w:sz="8" w:color="EAEAEA"/>
            </w:tcBorders>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6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7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30" w:type="dxa"/>
            <w:vAlign w:val="bottom"/>
            <w:shd w:val="clear" w:color="auto" w:fill="EAEAEA"/>
          </w:tcPr>
          <w:p>
            <w:pPr>
              <w:spacing w:after="0"/>
              <w:rPr>
                <w:sz w:val="20"/>
                <w:szCs w:val="20"/>
                <w:color w:val="auto"/>
              </w:rPr>
            </w:pPr>
          </w:p>
        </w:tc>
        <w:tc>
          <w:tcPr>
            <w:tcW w:w="3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4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5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706,524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734,753</w:t>
            </w:r>
          </w:p>
        </w:tc>
        <w:tc>
          <w:tcPr>
            <w:tcW w:w="158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675,795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EAEAEA"/>
            </w:tcBorders>
            <w:gridSpan w:val="2"/>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Long-term debt, net — less current portion</w:t>
            </w: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104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911,924</w:t>
            </w:r>
          </w:p>
        </w:tc>
        <w:tc>
          <w:tcPr>
            <w:tcW w:w="40" w:type="dxa"/>
            <w:vAlign w:val="bottom"/>
            <w:tcBorders>
              <w:left w:val="single" w:sz="8" w:color="EAEAEA"/>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EAEAEA"/>
            </w:tcBorders>
            <w:shd w:val="clear" w:color="auto" w:fill="EAEAEA"/>
          </w:tcPr>
          <w:p>
            <w:pPr>
              <w:spacing w:after="0"/>
              <w:rPr>
                <w:sz w:val="18"/>
                <w:szCs w:val="18"/>
                <w:color w:val="auto"/>
              </w:rPr>
            </w:pPr>
          </w:p>
        </w:tc>
        <w:tc>
          <w:tcPr>
            <w:tcW w:w="92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866,722</w:t>
            </w:r>
          </w:p>
        </w:tc>
        <w:tc>
          <w:tcPr>
            <w:tcW w:w="20" w:type="dxa"/>
            <w:vAlign w:val="bottom"/>
            <w:tcBorders>
              <w:bottom w:val="single" w:sz="8" w:color="EAEAEA"/>
            </w:tcBorders>
            <w:shd w:val="clear" w:color="auto" w:fill="EAEAEA"/>
          </w:tcPr>
          <w:p>
            <w:pPr>
              <w:spacing w:after="0"/>
              <w:rPr>
                <w:sz w:val="18"/>
                <w:szCs w:val="18"/>
                <w:color w:val="auto"/>
              </w:rPr>
            </w:pPr>
          </w:p>
        </w:tc>
        <w:tc>
          <w:tcPr>
            <w:tcW w:w="1100" w:type="dxa"/>
            <w:vAlign w:val="bottom"/>
            <w:tcBorders>
              <w:bottom w:val="single" w:sz="8" w:color="EAEAEA"/>
            </w:tcBorders>
            <w:gridSpan w:val="5"/>
            <w:shd w:val="clear" w:color="auto" w:fill="EAEAEA"/>
          </w:tcPr>
          <w:p>
            <w:pPr>
              <w:spacing w:after="0"/>
              <w:rPr>
                <w:sz w:val="18"/>
                <w:szCs w:val="18"/>
                <w:color w:val="auto"/>
              </w:rPr>
            </w:pPr>
          </w:p>
        </w:tc>
        <w:tc>
          <w:tcPr>
            <w:tcW w:w="15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5</w:t>
            </w:r>
          </w:p>
        </w:tc>
        <w:tc>
          <w:tcPr>
            <w:tcW w:w="3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06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rPr>
              <w:t>1,008,527</w:t>
            </w:r>
          </w:p>
        </w:tc>
        <w:tc>
          <w:tcPr>
            <w:tcW w:w="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(14</w:t>
            </w:r>
          </w:p>
        </w:tc>
        <w:tc>
          <w:tcPr>
            <w:tcW w:w="160" w:type="dxa"/>
            <w:vAlign w:val="bottom"/>
            <w:tcBorders>
              <w:bottom w:val="single" w:sz="8" w:color="EAEAEA"/>
            </w:tcBorders>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14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Deferred income taxes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826,373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739,472</w:t>
            </w:r>
          </w:p>
        </w:tc>
        <w:tc>
          <w:tcPr>
            <w:tcW w:w="20" w:type="dxa"/>
            <w:vAlign w:val="bottom"/>
          </w:tcPr>
          <w:p>
            <w:pPr>
              <w:spacing w:after="0"/>
              <w:rPr>
                <w:sz w:val="20"/>
                <w:szCs w:val="20"/>
                <w:color w:val="auto"/>
              </w:rPr>
            </w:pPr>
          </w:p>
        </w:tc>
        <w:tc>
          <w:tcPr>
            <w:tcW w:w="125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696,557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EAEAEA"/>
          </w:tcPr>
          <w:p>
            <w:pPr>
              <w:spacing w:after="0"/>
              <w:rPr>
                <w:sz w:val="19"/>
                <w:szCs w:val="19"/>
                <w:color w:val="auto"/>
              </w:rPr>
            </w:pPr>
          </w:p>
        </w:tc>
        <w:tc>
          <w:tcPr>
            <w:tcW w:w="37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Operating lease liabilities — less current</w:t>
            </w: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60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EAEAEA"/>
              </w:rPr>
              <w:t>169,854</w:t>
            </w:r>
          </w:p>
        </w:tc>
        <w:tc>
          <w:tcPr>
            <w:tcW w:w="40" w:type="dxa"/>
            <w:vAlign w:val="bottom"/>
            <w:tcBorders>
              <w:left w:val="single" w:sz="8" w:color="EAEAEA"/>
            </w:tcBorders>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6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EAEAEA"/>
              </w:rPr>
              <w:t>148,170</w:t>
            </w:r>
          </w:p>
        </w:tc>
        <w:tc>
          <w:tcPr>
            <w:tcW w:w="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15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9"/>
                <w:szCs w:val="19"/>
                <w:color w:val="auto"/>
                <w:w w:val="73"/>
              </w:rPr>
              <w:t>15</w:t>
            </w:r>
          </w:p>
        </w:tc>
        <w:tc>
          <w:tcPr>
            <w:tcW w:w="3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62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AEAEA"/>
              </w:rPr>
              <w:t>138,811</w:t>
            </w: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7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EAEAEA"/>
            </w:tcBorders>
            <w:shd w:val="clear" w:color="auto" w:fill="EAEAEA"/>
          </w:tcPr>
          <w:p>
            <w:pPr>
              <w:spacing w:after="0"/>
              <w:rPr>
                <w:sz w:val="18"/>
                <w:szCs w:val="18"/>
                <w:color w:val="auto"/>
              </w:rPr>
            </w:pPr>
          </w:p>
        </w:tc>
        <w:tc>
          <w:tcPr>
            <w:tcW w:w="374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portion</w:t>
            </w: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600" w:type="dxa"/>
            <w:vAlign w:val="bottom"/>
            <w:tcBorders>
              <w:bottom w:val="single" w:sz="8" w:color="EAEAEA"/>
            </w:tcBorders>
            <w:vMerge w:val="continue"/>
            <w:shd w:val="clear" w:color="auto" w:fill="EAEAEA"/>
          </w:tcPr>
          <w:p>
            <w:pPr>
              <w:spacing w:after="0"/>
              <w:rPr>
                <w:sz w:val="18"/>
                <w:szCs w:val="18"/>
                <w:color w:val="auto"/>
              </w:rPr>
            </w:pPr>
          </w:p>
        </w:tc>
        <w:tc>
          <w:tcPr>
            <w:tcW w:w="40" w:type="dxa"/>
            <w:vAlign w:val="bottom"/>
            <w:tcBorders>
              <w:left w:val="single" w:sz="8" w:color="EAEAEA"/>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spacing w:after="0"/>
              <w:rPr>
                <w:sz w:val="18"/>
                <w:szCs w:val="18"/>
                <w:color w:val="auto"/>
              </w:rPr>
            </w:pPr>
          </w:p>
        </w:tc>
        <w:tc>
          <w:tcPr>
            <w:tcW w:w="620" w:type="dxa"/>
            <w:vAlign w:val="bottom"/>
            <w:tcBorders>
              <w:bottom w:val="single" w:sz="8" w:color="EAEAEA"/>
            </w:tcBorders>
            <w:vMerge w:val="continue"/>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00" w:type="dxa"/>
            <w:vAlign w:val="bottom"/>
            <w:tcBorders>
              <w:bottom w:val="single" w:sz="8" w:color="EAEAEA"/>
            </w:tcBorders>
            <w:shd w:val="clear" w:color="auto" w:fill="EAEAEA"/>
          </w:tcPr>
          <w:p>
            <w:pPr>
              <w:spacing w:after="0"/>
              <w:rPr>
                <w:sz w:val="18"/>
                <w:szCs w:val="18"/>
                <w:color w:val="auto"/>
              </w:rPr>
            </w:pPr>
          </w:p>
        </w:tc>
        <w:tc>
          <w:tcPr>
            <w:tcW w:w="150" w:type="dxa"/>
            <w:vAlign w:val="bottom"/>
            <w:tcBorders>
              <w:bottom w:val="single" w:sz="8" w:color="EAEAEA"/>
            </w:tcBorders>
            <w:gridSpan w:val="2"/>
            <w:vMerge w:val="continue"/>
            <w:shd w:val="clear" w:color="auto" w:fill="EAEAEA"/>
          </w:tcPr>
          <w:p>
            <w:pPr>
              <w:spacing w:after="0"/>
              <w:rPr>
                <w:sz w:val="18"/>
                <w:szCs w:val="18"/>
                <w:color w:val="auto"/>
              </w:rPr>
            </w:pPr>
          </w:p>
        </w:tc>
        <w:tc>
          <w:tcPr>
            <w:tcW w:w="3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620" w:type="dxa"/>
            <w:vAlign w:val="bottom"/>
            <w:tcBorders>
              <w:bottom w:val="single" w:sz="8" w:color="EAEAEA"/>
            </w:tcBorders>
            <w:gridSpan w:val="2"/>
            <w:vMerge w:val="continue"/>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EAEAEA"/>
            </w:tcBorders>
            <w:gridSpan w:val="2"/>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9"/>
                <w:shd w:val="clear" w:color="auto" w:fill="EAEAEA"/>
              </w:rPr>
              <w:t>7</w:t>
            </w:r>
          </w:p>
        </w:tc>
        <w:tc>
          <w:tcPr>
            <w:tcW w:w="16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10,577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20" w:type="dxa"/>
            <w:vAlign w:val="bottom"/>
          </w:tcPr>
          <w:p>
            <w:pPr>
              <w:spacing w:after="0"/>
              <w:rPr>
                <w:sz w:val="20"/>
                <w:szCs w:val="20"/>
                <w:color w:val="auto"/>
              </w:rPr>
            </w:pPr>
          </w:p>
        </w:tc>
        <w:tc>
          <w:tcPr>
            <w:tcW w:w="128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15,830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EAEAEA"/>
            </w:tcBorders>
            <w:gridSpan w:val="2"/>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Total equity</w:t>
            </w:r>
          </w:p>
        </w:tc>
        <w:tc>
          <w:tcPr>
            <w:tcW w:w="2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104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3,382,793</w:t>
            </w:r>
          </w:p>
        </w:tc>
        <w:tc>
          <w:tcPr>
            <w:tcW w:w="40" w:type="dxa"/>
            <w:vAlign w:val="bottom"/>
            <w:tcBorders>
              <w:left w:val="single" w:sz="8" w:color="EAEAEA"/>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92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3,353,248</w:t>
            </w:r>
          </w:p>
        </w:tc>
        <w:tc>
          <w:tcPr>
            <w:tcW w:w="20" w:type="dxa"/>
            <w:vAlign w:val="bottom"/>
            <w:tcBorders>
              <w:bottom w:val="single" w:sz="8" w:color="EAEAEA"/>
            </w:tcBorders>
            <w:shd w:val="clear" w:color="auto" w:fill="EAEAEA"/>
          </w:tcPr>
          <w:p>
            <w:pPr>
              <w:spacing w:after="0"/>
              <w:rPr>
                <w:sz w:val="20"/>
                <w:szCs w:val="20"/>
                <w:color w:val="auto"/>
              </w:rPr>
            </w:pPr>
          </w:p>
        </w:tc>
        <w:tc>
          <w:tcPr>
            <w:tcW w:w="1100" w:type="dxa"/>
            <w:vAlign w:val="bottom"/>
            <w:tcBorders>
              <w:bottom w:val="single" w:sz="8" w:color="EAEAEA"/>
            </w:tcBorders>
            <w:gridSpan w:val="5"/>
            <w:shd w:val="clear" w:color="auto" w:fill="EAEAEA"/>
          </w:tcPr>
          <w:p>
            <w:pPr>
              <w:spacing w:after="0"/>
              <w:rPr>
                <w:sz w:val="20"/>
                <w:szCs w:val="20"/>
                <w:color w:val="auto"/>
              </w:rPr>
            </w:pPr>
          </w:p>
        </w:tc>
        <w:tc>
          <w:tcPr>
            <w:tcW w:w="150" w:type="dxa"/>
            <w:vAlign w:val="bottom"/>
            <w:tcBorders>
              <w:bottom w:val="single" w:sz="8" w:color="EAEAEA"/>
            </w:tcBorders>
            <w:gridSpan w:val="2"/>
            <w:shd w:val="clear" w:color="auto" w:fill="EAEAEA"/>
          </w:tcPr>
          <w:p>
            <w:pPr>
              <w:jc w:val="right"/>
              <w:ind w:right="10"/>
              <w:spacing w:after="0" w:line="186" w:lineRule="exact"/>
              <w:rPr>
                <w:sz w:val="20"/>
                <w:szCs w:val="20"/>
                <w:color w:val="auto"/>
              </w:rPr>
            </w:pPr>
            <w:r>
              <w:rPr>
                <w:rFonts w:ascii="Times New Roman" w:cs="Times New Roman" w:eastAsia="Times New Roman" w:hAnsi="Times New Roman"/>
                <w:sz w:val="20"/>
                <w:szCs w:val="20"/>
                <w:color w:val="auto"/>
              </w:rPr>
              <w:t>1</w:t>
            </w:r>
          </w:p>
        </w:tc>
        <w:tc>
          <w:tcPr>
            <w:tcW w:w="3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06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3,186,677</w:t>
            </w:r>
          </w:p>
        </w:tc>
        <w:tc>
          <w:tcPr>
            <w:tcW w:w="2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840" w:type="dxa"/>
            <w:vAlign w:val="bottom"/>
            <w:tcBorders>
              <w:bottom w:val="single" w:sz="8" w:color="EAEAEA"/>
            </w:tcBorders>
            <w:gridSpan w:val="2"/>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9"/>
                <w:shd w:val="clear" w:color="auto" w:fill="EAEAEA"/>
              </w:rPr>
              <w:t>5</w:t>
            </w:r>
          </w:p>
        </w:tc>
        <w:tc>
          <w:tcPr>
            <w:tcW w:w="16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6,008,045</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5,851,952</w:t>
            </w:r>
          </w:p>
        </w:tc>
        <w:tc>
          <w:tcPr>
            <w:tcW w:w="20" w:type="dxa"/>
            <w:vAlign w:val="bottom"/>
            <w:tcBorders>
              <w:top w:val="single" w:sz="8" w:color="auto"/>
              <w:bottom w:val="single" w:sz="8" w:color="auto"/>
            </w:tcBorders>
          </w:tcPr>
          <w:p>
            <w:pPr>
              <w:spacing w:after="0"/>
              <w:rPr>
                <w:sz w:val="19"/>
                <w:szCs w:val="19"/>
                <w:color w:val="auto"/>
              </w:rPr>
            </w:pPr>
          </w:p>
        </w:tc>
        <w:tc>
          <w:tcPr>
            <w:tcW w:w="1580" w:type="dxa"/>
            <w:vAlign w:val="bottom"/>
            <w:gridSpan w:val="9"/>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5,722,197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5"/>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-2999105</wp:posOffset>
            </wp:positionV>
            <wp:extent cx="4196080"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a:extLst>
                        <a:ext uri="{28A0092B-C50C-407E-A947-70E740481C1C}"/>
                      </a:extLst>
                    </a:blip>
                    <a:srcRect/>
                    <a:stretch>
                      <a:fillRect/>
                    </a:stretch>
                  </pic:blipFill>
                  <pic:spPr bwMode="auto">
                    <a:xfrm>
                      <a:off x="0" y="0"/>
                      <a:ext cx="4196080" cy="34925"/>
                    </a:xfrm>
                    <a:prstGeom prst="rect">
                      <a:avLst/>
                    </a:prstGeom>
                    <a:noFill/>
                  </pic:spPr>
                </pic:pic>
              </a:graphicData>
            </a:graphic>
          </wp:anchor>
        </w:drawing>
      </w:r>
    </w:p>
    <w:p>
      <w:pPr>
        <w:sectPr>
          <w:pgSz w:w="12240" w:h="15840" w:orient="portrait"/>
          <w:cols w:equalWidth="0" w:num="1">
            <w:col w:w="10800"/>
          </w:cols>
          <w:pgMar w:left="720" w:top="930" w:right="720"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2240" w:h="15840" w:orient="portrait"/>
          <w:cols w:equalWidth="0" w:num="1">
            <w:col w:w="10800"/>
          </w:cols>
          <w:pgMar w:left="720" w:top="930" w:right="720" w:bottom="199"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2025 Compared to 2024</w:t>
      </w:r>
    </w:p>
    <w:p>
      <w:pPr>
        <w:spacing w:after="0" w:line="199" w:lineRule="exact"/>
        <w:rPr>
          <w:sz w:val="20"/>
          <w:szCs w:val="20"/>
          <w:color w:val="auto"/>
        </w:rPr>
      </w:pPr>
    </w:p>
    <w:p>
      <w:pPr>
        <w:jc w:val="both"/>
        <w:ind w:firstLine="367"/>
        <w:spacing w:after="0" w:line="255" w:lineRule="auto"/>
        <w:rPr>
          <w:sz w:val="20"/>
          <w:szCs w:val="20"/>
          <w:color w:val="auto"/>
        </w:rPr>
      </w:pPr>
      <w:r>
        <w:rPr>
          <w:rFonts w:ascii="Times New Roman" w:cs="Times New Roman" w:eastAsia="Times New Roman" w:hAnsi="Times New Roman"/>
          <w:sz w:val="20"/>
          <w:szCs w:val="20"/>
          <w:color w:val="auto"/>
        </w:rPr>
        <w:t xml:space="preserve">Current assets as of December 31, 2025 increased 1% compared to December 31, 2024. Trade accounts receivable decreased 3% primarily due to strong collections activity during 2025. Accounts receivable – other increased 48% due to a federal income tax receivable associated with the One Big Beautiful Bill Act (“OBBBA”). </w:t>
      </w:r>
      <w:r>
        <w:rPr>
          <w:rFonts w:ascii="Times New Roman" w:cs="Times New Roman" w:eastAsia="Times New Roman" w:hAnsi="Times New Roman"/>
          <w:sz w:val="19"/>
          <w:szCs w:val="19"/>
          <w:color w:val="auto"/>
        </w:rPr>
        <w:t>Inventories – net increased by 1% primarily due to the impact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of higher business activity levels in KDS. Prepaid expenses and other current assets decreased 9% primarily due to lower prepaid fuel due to a decrease in the price of diesel fuel.</w:t>
      </w:r>
    </w:p>
    <w:p>
      <w:pPr>
        <w:spacing w:after="0" w:line="15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Property and equipment, net of accumulated depreciation, at December 31, 2025 increased 2% compared to December 31, 2024. The increase reflected $250.3 million of capital additions (including accrued capital expenditures) and $106.5 million of equipment acquisitions, partially offset by $255.4 million of depreciation expense and $26.3 million of property disposals, more fully described under Cash Flows and Capital Expenditures below.</w:t>
      </w:r>
    </w:p>
    <w:p>
      <w:pPr>
        <w:spacing w:after="0" w:line="155" w:lineRule="exact"/>
        <w:rPr>
          <w:sz w:val="20"/>
          <w:szCs w:val="20"/>
          <w:color w:val="auto"/>
        </w:rPr>
      </w:pPr>
    </w:p>
    <w:p>
      <w:pPr>
        <w:jc w:val="both"/>
        <w:ind w:firstLine="359"/>
        <w:spacing w:after="0" w:line="277" w:lineRule="auto"/>
        <w:rPr>
          <w:sz w:val="20"/>
          <w:szCs w:val="20"/>
          <w:color w:val="auto"/>
        </w:rPr>
      </w:pPr>
      <w:r>
        <w:rPr>
          <w:rFonts w:ascii="Times New Roman" w:cs="Times New Roman" w:eastAsia="Times New Roman" w:hAnsi="Times New Roman"/>
          <w:sz w:val="20"/>
          <w:szCs w:val="20"/>
          <w:color w:val="auto"/>
        </w:rPr>
        <w:t>Operating lease right-of-use assets as of December 31, 2025 increased 22% compared to December 31, 2024, primarily due to new leases acquired, partially offset by lease amortization expense.</w:t>
      </w:r>
    </w:p>
    <w:p>
      <w:pPr>
        <w:spacing w:after="0" w:line="12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 xml:space="preserve">Other intangibles, net, as of December 31, 2025 decreased 12% compared to December 31, 2024, primarily due to amortization, partially offset by </w:t>
      </w:r>
      <w:r>
        <w:rPr>
          <w:rFonts w:ascii="Times New Roman" w:cs="Times New Roman" w:eastAsia="Times New Roman" w:hAnsi="Times New Roman"/>
          <w:sz w:val="19"/>
          <w:szCs w:val="19"/>
          <w:color w:val="auto"/>
        </w:rPr>
        <w:t>intangible assets acquired during 2025</w:t>
      </w:r>
    </w:p>
    <w:p>
      <w:pPr>
        <w:spacing w:after="0" w:line="12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 xml:space="preserve">Other assets as of December 31, 2025 increased 33% compared to December 31, 2024, primarily due to an increase in pension assets as a result of an improved funded status and additional deferred major drydock expenditures incurred during 2025, partially offset by </w:t>
      </w:r>
      <w:r>
        <w:rPr>
          <w:rFonts w:ascii="Times New Roman" w:cs="Times New Roman" w:eastAsia="Times New Roman" w:hAnsi="Times New Roman"/>
          <w:sz w:val="19"/>
          <w:szCs w:val="19"/>
          <w:color w:val="auto"/>
        </w:rPr>
        <w:t>amortization of drydock expenditures</w:t>
      </w:r>
    </w:p>
    <w:p>
      <w:pPr>
        <w:spacing w:after="0" w:line="145" w:lineRule="exact"/>
        <w:rPr>
          <w:sz w:val="20"/>
          <w:szCs w:val="20"/>
          <w:color w:val="auto"/>
        </w:rPr>
      </w:pPr>
    </w:p>
    <w:p>
      <w:pPr>
        <w:jc w:val="both"/>
        <w:ind w:firstLine="367"/>
        <w:spacing w:after="0" w:line="259" w:lineRule="auto"/>
        <w:rPr>
          <w:sz w:val="20"/>
          <w:szCs w:val="20"/>
          <w:color w:val="auto"/>
        </w:rPr>
      </w:pPr>
      <w:r>
        <w:rPr>
          <w:rFonts w:ascii="Times New Roman" w:cs="Times New Roman" w:eastAsia="Times New Roman" w:hAnsi="Times New Roman"/>
          <w:sz w:val="20"/>
          <w:szCs w:val="20"/>
          <w:color w:val="auto"/>
        </w:rPr>
        <w:t>Current liabilities as of December 31, 2025 decreased 4% compared to December 31, 2024. Accounts payable decreased 13%, primarily due to timing of shipyard payments. Income taxes payable decreased 100% due to the timing of federal income tax payments. Deferred revenues increased 14%, primarily due to deposits on equipment expected to be shipped in 2026 in KDS.</w:t>
      </w:r>
    </w:p>
    <w:p>
      <w:pPr>
        <w:spacing w:after="0" w:line="145" w:lineRule="exact"/>
        <w:rPr>
          <w:sz w:val="20"/>
          <w:szCs w:val="20"/>
          <w:color w:val="auto"/>
        </w:rPr>
      </w:pPr>
    </w:p>
    <w:p>
      <w:pPr>
        <w:jc w:val="both"/>
        <w:ind w:firstLine="359"/>
        <w:spacing w:after="0" w:line="278" w:lineRule="auto"/>
        <w:rPr>
          <w:sz w:val="20"/>
          <w:szCs w:val="20"/>
          <w:color w:val="auto"/>
        </w:rPr>
      </w:pPr>
      <w:r>
        <w:rPr>
          <w:rFonts w:ascii="Times New Roman" w:cs="Times New Roman" w:eastAsia="Times New Roman" w:hAnsi="Times New Roman"/>
          <w:sz w:val="20"/>
          <w:szCs w:val="20"/>
          <w:color w:val="auto"/>
        </w:rPr>
        <w:t>Long-term debt, net – less current portion, as of December 31, 2025, increased 5% compared to December 31, 2024, primarily reflecting net borrowings on the 2027 Revolving Credit Facility.</w:t>
      </w:r>
    </w:p>
    <w:p>
      <w:pPr>
        <w:spacing w:after="0" w:line="127"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20"/>
          <w:szCs w:val="20"/>
          <w:color w:val="auto"/>
        </w:rPr>
        <w:t>Deferred income taxes as of December 31, 2025 increased 12% compared to December 31, 2024, primarily reflecting the 2025 deferred tax provision of $82.5 million.</w:t>
      </w:r>
    </w:p>
    <w:p>
      <w:pPr>
        <w:spacing w:after="0" w:line="12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Operating lease liabilities – less current portion, as of December 31, 2025 increased 15% compared to December 31, 2024, primarily due to new leases acquired and liability accretion, partially offset by lease payments made.</w:t>
      </w:r>
    </w:p>
    <w:p>
      <w:pPr>
        <w:spacing w:after="0" w:line="128" w:lineRule="exact"/>
        <w:rPr>
          <w:sz w:val="20"/>
          <w:szCs w:val="20"/>
          <w:color w:val="auto"/>
        </w:rPr>
      </w:pPr>
    </w:p>
    <w:p>
      <w:pPr>
        <w:jc w:val="both"/>
        <w:ind w:firstLine="354"/>
        <w:spacing w:after="0" w:line="278" w:lineRule="auto"/>
        <w:rPr>
          <w:sz w:val="20"/>
          <w:szCs w:val="20"/>
          <w:color w:val="auto"/>
        </w:rPr>
      </w:pPr>
      <w:r>
        <w:rPr>
          <w:rFonts w:ascii="Times New Roman" w:cs="Times New Roman" w:eastAsia="Times New Roman" w:hAnsi="Times New Roman"/>
          <w:sz w:val="20"/>
          <w:szCs w:val="20"/>
          <w:color w:val="auto"/>
        </w:rPr>
        <w:t>Other long-term liabilities as of December 31, 2025 increased 10% compared to December 31, 2024, primarily due to an increase in deferred compensation accruals.</w:t>
      </w:r>
    </w:p>
    <w:p>
      <w:pPr>
        <w:spacing w:after="0" w:line="12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Total equity as of December 31, 2025 increased 1% compared to December 31, 2024, primarily due to net earnings attributable to Kirby of $354.6 million and other comprehensive income of $15.2 million for 2025, partially offset by treasury stock purchases of $354.2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Retirement Plans</w:t>
      </w:r>
    </w:p>
    <w:p>
      <w:pPr>
        <w:spacing w:after="0" w:line="20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sponsors a defined benefit plan (the “Kirby Pension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contributions to that plan were made in 2025, 2024 or 2023.</w:t>
      </w:r>
    </w:p>
    <w:p>
      <w:pPr>
        <w:spacing w:after="0" w:line="156" w:lineRule="exact"/>
        <w:rPr>
          <w:sz w:val="20"/>
          <w:szCs w:val="20"/>
          <w:color w:val="auto"/>
        </w:rPr>
      </w:pPr>
    </w:p>
    <w:p>
      <w:pPr>
        <w:jc w:val="both"/>
        <w:ind w:firstLine="353"/>
        <w:spacing w:after="0" w:line="255" w:lineRule="auto"/>
        <w:rPr>
          <w:sz w:val="20"/>
          <w:szCs w:val="20"/>
          <w:color w:val="auto"/>
        </w:rPr>
      </w:pPr>
      <w:r>
        <w:rPr>
          <w:rFonts w:ascii="Times New Roman" w:cs="Times New Roman" w:eastAsia="Times New Roman" w:hAnsi="Times New Roman"/>
          <w:sz w:val="20"/>
          <w:szCs w:val="20"/>
          <w:color w:val="auto"/>
        </w:rPr>
        <w:t>On April 12, 2017, the Company amended the Kirby Pension Plan to cease all benefit accruals for periods after May 31, 2017 for certain participants. Participants grandfathered and not impacted were those, as of the close of business on May 31, 2017, who either</w:t>
      </w:r>
    </w:p>
    <w:p>
      <w:pPr>
        <w:spacing w:after="0" w:line="248" w:lineRule="auto"/>
        <w:tabs>
          <w:tab w:leader="none" w:pos="27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completed 15 years of pension service or (b) had attained age 50 and completed 10 years of pension service. Participant non-grandfathered are eligible to receive discretionary 401(k) plan contributions.</w:t>
      </w:r>
    </w:p>
    <w:p>
      <w:pPr>
        <w:spacing w:after="0" w:line="15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$1.2 million, $1.7 million and $8.2 million for the years ended Decemb r 31, 2025, 2024 and 2023, respectively.</w:t>
      </w:r>
    </w:p>
    <w:p>
      <w:pPr>
        <w:sectPr>
          <w:pgSz w:w="12240" w:h="15840" w:orient="portrait"/>
          <w:cols w:equalWidth="0" w:num="1">
            <w:col w:w="10800"/>
          </w:cols>
          <w:pgMar w:left="720" w:top="930" w:right="720" w:bottom="176"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930" w:right="720" w:bottom="176" w:gutter="0" w:footer="0" w:header="0"/>
          <w:type w:val="continuous"/>
        </w:sectPr>
      </w:pPr>
    </w:p>
    <w:bookmarkStart w:id="56" w:name="page57"/>
    <w:bookmarkEnd w:id="56"/>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aggregate fair value of plan assets of the Company’s pension plans was $461.2 million and $411.4 million at December 31, 2025, and 2024, respectively.</w:t>
      </w:r>
    </w:p>
    <w:p>
      <w:pPr>
        <w:spacing w:after="0" w:line="1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Company’s investment strategy focuses on total return on invested assets (capital appreciation plus dividend and interest income). The primary objective in the investment management of assets is to achieve long-term growth of principal while avoidin excessive risk. Risk is managed through diversification of investments within and among asset classes, as well as by investing in asset classes offering sufficient liquidity and trading history.</w:t>
      </w:r>
    </w:p>
    <w:p>
      <w:pPr>
        <w:spacing w:after="0" w:line="154" w:lineRule="exact"/>
        <w:rPr>
          <w:sz w:val="20"/>
          <w:szCs w:val="20"/>
          <w:color w:val="auto"/>
        </w:rPr>
      </w:pPr>
    </w:p>
    <w:p>
      <w:pPr>
        <w:jc w:val="both"/>
        <w:ind w:firstLine="353"/>
        <w:spacing w:after="0" w:line="254" w:lineRule="auto"/>
        <w:rPr>
          <w:sz w:val="20"/>
          <w:szCs w:val="20"/>
          <w:color w:val="auto"/>
        </w:rPr>
      </w:pPr>
      <w:r>
        <w:rPr>
          <w:rFonts w:ascii="Times New Roman" w:cs="Times New Roman" w:eastAsia="Times New Roman" w:hAnsi="Times New Roman"/>
          <w:sz w:val="20"/>
          <w:szCs w:val="20"/>
          <w:color w:val="auto"/>
        </w:rPr>
        <w:t>The Company makes various assumptions when determining defined benefit plan costs including, but not limited to, the current discount rate and the expected long-term return on plan assets. Discount rates are determined annually and are based on a yield curv</w:t>
      </w:r>
    </w:p>
    <w:p>
      <w:pPr>
        <w:spacing w:after="0" w:line="1" w:lineRule="exact"/>
        <w:rPr>
          <w:sz w:val="20"/>
          <w:szCs w:val="20"/>
          <w:color w:val="auto"/>
        </w:rPr>
      </w:pPr>
    </w:p>
    <w:p>
      <w:pPr>
        <w:jc w:val="both"/>
        <w:ind w:firstLine="2"/>
        <w:spacing w:after="0" w:line="241" w:lineRule="auto"/>
        <w:rPr>
          <w:sz w:val="20"/>
          <w:szCs w:val="20"/>
          <w:color w:val="auto"/>
        </w:rPr>
      </w:pPr>
      <w:r>
        <w:rPr>
          <w:rFonts w:ascii="Times New Roman" w:cs="Times New Roman" w:eastAsia="Times New Roman" w:hAnsi="Times New Roman"/>
          <w:sz w:val="20"/>
          <w:szCs w:val="20"/>
          <w:color w:val="auto"/>
        </w:rPr>
        <w:t>that consists of a hypothetical portfolio of high quality corporate bonds with maturities matching the projected benefit cash f ows. The Company used discount rates of 5.5% for the Kirby Pension Plan and 5.7% for the Higman Pension Plan in 2025 and 5.7% for both the Kirby Pension Plan and Higman Pension Plan in 2024. The Company estimates that every 0.1% decrease in the discount rate results in an increase in the accumulated benefit obligation (“ABO”) of approximately $4.1 million. The Company assumed that plan assets would generate a long-term rate of return of 6.75% in both 2025 and 2024.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 targeted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6361430</wp:posOffset>
            </wp:positionH>
            <wp:positionV relativeFrom="paragraph">
              <wp:posOffset>-1145540</wp:posOffset>
            </wp:positionV>
            <wp:extent cx="9525" cy="863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2">
                      <a:extLst>
                        <a:ext uri="{28A0092B-C50C-407E-A947-70E740481C1C}"/>
                      </a:extLst>
                    </a:blip>
                    <a:srcRect/>
                    <a:stretch>
                      <a:fillRect/>
                    </a:stretch>
                  </pic:blipFill>
                  <pic:spPr bwMode="auto">
                    <a:xfrm>
                      <a:off x="0" y="0"/>
                      <a:ext cx="9525" cy="863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Financing</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Company’s outstanding debt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7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20" w:type="dxa"/>
            <w:vAlign w:val="bottom"/>
            <w:gridSpan w:val="7"/>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36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80" w:type="dxa"/>
            <w:vAlign w:val="bottom"/>
            <w:tcBorders>
              <w:bottom w:val="single" w:sz="8" w:color="EAEAEA"/>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Long-term debt, including current portion:</w:t>
            </w:r>
          </w:p>
        </w:tc>
        <w:tc>
          <w:tcPr>
            <w:tcW w:w="10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Revolving Credit Facility due July 29, 2027 (a)</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Term Loan due July 29, 2027 (a)</w:t>
            </w:r>
          </w:p>
        </w:tc>
        <w:tc>
          <w:tcPr>
            <w:tcW w:w="100" w:type="dxa"/>
            <w:vAlign w:val="bottom"/>
            <w:shd w:val="clear" w:color="auto" w:fill="EAEAEA"/>
          </w:tcPr>
          <w:p>
            <w:pPr>
              <w:spacing w:after="0"/>
              <w:rPr>
                <w:sz w:val="20"/>
                <w:szCs w:val="20"/>
                <w:color w:val="auto"/>
              </w:rPr>
            </w:pPr>
          </w:p>
        </w:tc>
        <w:tc>
          <w:tcPr>
            <w:tcW w:w="900" w:type="dxa"/>
            <w:vAlign w:val="bottom"/>
            <w:shd w:val="clear" w:color="auto" w:fill="EAEAEA"/>
          </w:tcPr>
          <w:p>
            <w:pPr>
              <w:spacing w:after="0"/>
              <w:rPr>
                <w:sz w:val="20"/>
                <w:szCs w:val="20"/>
                <w:color w:val="auto"/>
              </w:rPr>
            </w:pPr>
          </w:p>
        </w:tc>
        <w:tc>
          <w:tcPr>
            <w:tcW w:w="520" w:type="dxa"/>
            <w:vAlign w:val="bottom"/>
            <w:gridSpan w:val="4"/>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w w:val="90"/>
                <w:shd w:val="clear" w:color="auto" w:fill="EAEAEA"/>
              </w:rPr>
              <w:t>70,000</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680" w:type="dxa"/>
            <w:vAlign w:val="bottom"/>
            <w:shd w:val="clear" w:color="auto" w:fill="EAEAEA"/>
          </w:tcPr>
          <w:p>
            <w:pPr>
              <w:spacing w:after="0"/>
              <w:rPr>
                <w:sz w:val="20"/>
                <w:szCs w:val="20"/>
                <w:color w:val="auto"/>
              </w:rPr>
            </w:pPr>
          </w:p>
        </w:tc>
        <w:tc>
          <w:tcPr>
            <w:tcW w:w="540" w:type="dxa"/>
            <w:vAlign w:val="bottom"/>
            <w:gridSpan w:val="4"/>
            <w:shd w:val="clear" w:color="auto" w:fill="EAEAEA"/>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90"/>
                <w:shd w:val="clear" w:color="auto" w:fill="EAEAEA"/>
              </w:rPr>
              <w:t>70,000</w:t>
            </w:r>
          </w:p>
        </w:tc>
        <w:tc>
          <w:tcPr>
            <w:tcW w:w="6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4.2% senior notes due March 1, 2028</w:t>
            </w:r>
          </w:p>
        </w:tc>
        <w:tc>
          <w:tcPr>
            <w:tcW w:w="10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500,000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3.46% senior notes due January 19, 2033</w:t>
            </w:r>
          </w:p>
        </w:tc>
        <w:tc>
          <w:tcPr>
            <w:tcW w:w="100" w:type="dxa"/>
            <w:vAlign w:val="bottom"/>
            <w:shd w:val="clear" w:color="auto" w:fill="EAEAEA"/>
          </w:tcPr>
          <w:p>
            <w:pPr>
              <w:spacing w:after="0"/>
              <w:rPr>
                <w:sz w:val="20"/>
                <w:szCs w:val="20"/>
                <w:color w:val="auto"/>
              </w:rPr>
            </w:pPr>
          </w:p>
        </w:tc>
        <w:tc>
          <w:tcPr>
            <w:tcW w:w="900" w:type="dxa"/>
            <w:vAlign w:val="bottom"/>
            <w:shd w:val="clear" w:color="auto" w:fill="EAEAEA"/>
          </w:tcPr>
          <w:p>
            <w:pPr>
              <w:spacing w:after="0"/>
              <w:rPr>
                <w:sz w:val="20"/>
                <w:szCs w:val="20"/>
                <w:color w:val="auto"/>
              </w:rPr>
            </w:pPr>
          </w:p>
        </w:tc>
        <w:tc>
          <w:tcPr>
            <w:tcW w:w="520" w:type="dxa"/>
            <w:vAlign w:val="bottom"/>
            <w:gridSpan w:val="4"/>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w w:val="90"/>
                <w:shd w:val="clear" w:color="auto" w:fill="EAEAEA"/>
              </w:rPr>
              <w:t>60,000</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680" w:type="dxa"/>
            <w:vAlign w:val="bottom"/>
            <w:shd w:val="clear" w:color="auto" w:fill="EAEAEA"/>
          </w:tcPr>
          <w:p>
            <w:pPr>
              <w:spacing w:after="0"/>
              <w:rPr>
                <w:sz w:val="20"/>
                <w:szCs w:val="20"/>
                <w:color w:val="auto"/>
              </w:rPr>
            </w:pPr>
          </w:p>
        </w:tc>
        <w:tc>
          <w:tcPr>
            <w:tcW w:w="540" w:type="dxa"/>
            <w:vAlign w:val="bottom"/>
            <w:gridSpan w:val="4"/>
            <w:shd w:val="clear" w:color="auto" w:fill="EAEAEA"/>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90"/>
                <w:shd w:val="clear" w:color="auto" w:fill="EAEAEA"/>
              </w:rPr>
              <w:t>60,000</w:t>
            </w:r>
          </w:p>
        </w:tc>
        <w:tc>
          <w:tcPr>
            <w:tcW w:w="6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3.51% senior notes due January 19, 2033</w:t>
            </w:r>
          </w:p>
        </w:tc>
        <w:tc>
          <w:tcPr>
            <w:tcW w:w="10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240,000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240,000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Credit line due June 30, 2026</w:t>
            </w:r>
          </w:p>
        </w:tc>
        <w:tc>
          <w:tcPr>
            <w:tcW w:w="100" w:type="dxa"/>
            <w:vAlign w:val="bottom"/>
            <w:shd w:val="clear" w:color="auto" w:fill="EAEAEA"/>
          </w:tcPr>
          <w:p>
            <w:pPr>
              <w:spacing w:after="0"/>
              <w:rPr>
                <w:sz w:val="20"/>
                <w:szCs w:val="20"/>
                <w:color w:val="auto"/>
              </w:rPr>
            </w:pPr>
          </w:p>
        </w:tc>
        <w:tc>
          <w:tcPr>
            <w:tcW w:w="90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68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4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7360" w:type="dxa"/>
            <w:vAlign w:val="bottom"/>
            <w:vMerge w:val="restart"/>
          </w:tcPr>
          <w:p>
            <w:pPr>
              <w:ind w:left="200"/>
              <w:spacing w:after="0" w:line="220" w:lineRule="exact"/>
              <w:rPr>
                <w:sz w:val="20"/>
                <w:szCs w:val="20"/>
                <w:color w:val="auto"/>
              </w:rPr>
            </w:pPr>
            <w:r>
              <w:rPr>
                <w:rFonts w:ascii="Times New Roman" w:cs="Times New Roman" w:eastAsia="Times New Roman" w:hAnsi="Times New Roman"/>
                <w:sz w:val="20"/>
                <w:szCs w:val="20"/>
                <w:color w:val="auto"/>
              </w:rPr>
              <w:t>Bank notes payable</w:t>
            </w:r>
          </w:p>
        </w:tc>
        <w:tc>
          <w:tcPr>
            <w:tcW w:w="100" w:type="dxa"/>
            <w:vAlign w:val="bottom"/>
          </w:tcPr>
          <w:p>
            <w:pPr>
              <w:spacing w:after="0"/>
              <w:rPr>
                <w:sz w:val="4"/>
                <w:szCs w:val="4"/>
                <w:color w:val="auto"/>
              </w:rPr>
            </w:pPr>
          </w:p>
        </w:tc>
        <w:tc>
          <w:tcPr>
            <w:tcW w:w="920" w:type="dxa"/>
            <w:vAlign w:val="bottom"/>
            <w:gridSpan w:val="2"/>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gridSpan w:val="2"/>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2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3"/>
              </w:rPr>
              <w:t>7,357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0" w:type="dxa"/>
            <w:vAlign w:val="bottom"/>
            <w:gridSpan w:val="2"/>
          </w:tcPr>
          <w:p>
            <w:pPr>
              <w:jc w:val="right"/>
              <w:ind w:right="20"/>
              <w:spacing w:after="0" w:line="168" w:lineRule="exact"/>
              <w:rPr>
                <w:sz w:val="20"/>
                <w:szCs w:val="20"/>
                <w:color w:val="auto"/>
              </w:rPr>
            </w:pPr>
            <w:r>
              <w:rPr>
                <w:rFonts w:ascii="Times New Roman" w:cs="Times New Roman" w:eastAsia="Times New Roman" w:hAnsi="Times New Roman"/>
                <w:sz w:val="19"/>
                <w:szCs w:val="19"/>
                <w:color w:val="auto"/>
                <w:highlight w:val="white"/>
                <w:w w:val="93"/>
              </w:rPr>
              <w:t>8,226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6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420" w:type="dxa"/>
            <w:vAlign w:val="bottom"/>
            <w:gridSpan w:val="5"/>
            <w:shd w:val="clear" w:color="auto" w:fill="EAEAEA"/>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EAEAEA"/>
              </w:rPr>
              <w:t>922,357</w:t>
            </w: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220" w:type="dxa"/>
            <w:vAlign w:val="bottom"/>
            <w:gridSpan w:val="5"/>
            <w:shd w:val="clear" w:color="auto" w:fill="EAEAEA"/>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shd w:val="clear" w:color="auto" w:fill="EAEAEA"/>
              </w:rPr>
              <w:t>878,226</w:t>
            </w:r>
          </w:p>
        </w:tc>
        <w:tc>
          <w:tcPr>
            <w:tcW w:w="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3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Unamortized debt discount and issuance costs (b)</w:t>
            </w:r>
          </w:p>
        </w:tc>
        <w:tc>
          <w:tcPr>
            <w:tcW w:w="100" w:type="dxa"/>
            <w:vAlign w:val="bottom"/>
          </w:tcPr>
          <w:p>
            <w:pPr>
              <w:spacing w:after="0"/>
              <w:rPr>
                <w:sz w:val="4"/>
                <w:szCs w:val="4"/>
                <w:color w:val="auto"/>
              </w:rPr>
            </w:pPr>
          </w:p>
        </w:tc>
        <w:tc>
          <w:tcPr>
            <w:tcW w:w="920" w:type="dxa"/>
            <w:vAlign w:val="bottom"/>
            <w:gridSpan w:val="2"/>
            <w:vMerge w:val="restart"/>
          </w:tcPr>
          <w:p>
            <w:pPr>
              <w:spacing w:after="0"/>
              <w:rPr>
                <w:sz w:val="4"/>
                <w:szCs w:val="4"/>
                <w:color w:val="auto"/>
              </w:rPr>
            </w:pPr>
          </w:p>
        </w:tc>
        <w:tc>
          <w:tcPr>
            <w:tcW w:w="500" w:type="dxa"/>
            <w:vAlign w:val="bottom"/>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gridSpan w:val="2"/>
            <w:vMerge w:val="restart"/>
          </w:tcPr>
          <w:p>
            <w:pPr>
              <w:spacing w:after="0"/>
              <w:rPr>
                <w:sz w:val="4"/>
                <w:szCs w:val="4"/>
                <w:color w:val="auto"/>
              </w:rPr>
            </w:pPr>
          </w:p>
        </w:tc>
        <w:tc>
          <w:tcPr>
            <w:tcW w:w="50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360" w:type="dxa"/>
            <w:vAlign w:val="bottom"/>
            <w:tcBorders>
              <w:bottom w:val="single" w:sz="8" w:color="EAEAEA"/>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(3,076</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tcBorders>
              <w:bottom w:val="single" w:sz="8" w:color="EAEAEA"/>
            </w:tcBorders>
            <w:vMerge w:val="continue"/>
          </w:tcPr>
          <w:p>
            <w:pPr>
              <w:spacing w:after="0"/>
              <w:rPr>
                <w:sz w:val="15"/>
                <w:szCs w:val="15"/>
                <w:color w:val="auto"/>
              </w:rPr>
            </w:pPr>
          </w:p>
        </w:tc>
        <w:tc>
          <w:tcPr>
            <w:tcW w:w="180" w:type="dxa"/>
            <w:vAlign w:val="bottom"/>
            <w:tcBorders>
              <w:bottom w:val="single" w:sz="8" w:color="EAEAEA"/>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(3,278</w:t>
            </w: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AEAEA"/>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EAEAE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20" w:type="dxa"/>
            <w:vAlign w:val="bottom"/>
            <w:tcBorders>
              <w:bottom w:val="single" w:sz="8" w:color="EAEAEA"/>
            </w:tcBorders>
            <w:gridSpan w:val="5"/>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919,281</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jc w:val="right"/>
              <w:ind w:right="15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0" w:type="dxa"/>
            <w:vAlign w:val="bottom"/>
            <w:tcBorders>
              <w:bottom w:val="single" w:sz="8" w:color="EAEAEA"/>
            </w:tcBorders>
            <w:gridSpan w:val="4"/>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874,948</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-1802130</wp:posOffset>
            </wp:positionV>
            <wp:extent cx="2155190"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3">
                      <a:extLst>
                        <a:ext uri="{28A0092B-C50C-407E-A947-70E740481C1C}"/>
                      </a:extLst>
                    </a:blip>
                    <a:srcRect/>
                    <a:stretch>
                      <a:fillRect/>
                    </a:stretch>
                  </pic:blipFill>
                  <pic:spPr bwMode="auto">
                    <a:xfrm>
                      <a:off x="0" y="0"/>
                      <a:ext cx="2155190" cy="34925"/>
                    </a:xfrm>
                    <a:prstGeom prst="rect">
                      <a:avLst/>
                    </a:prstGeom>
                    <a:noFill/>
                  </pic:spPr>
                </pic:pic>
              </a:graphicData>
            </a:graphic>
          </wp:anchor>
        </w:drawing>
      </w:r>
    </w:p>
    <w:p>
      <w:pPr>
        <w:spacing w:after="0" w:line="191" w:lineRule="exact"/>
        <w:rPr>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5.0% and 5.6% at December 31, 2025 and 2024, respectively.</w:t>
      </w:r>
    </w:p>
    <w:p>
      <w:pPr>
        <w:spacing w:after="0" w:line="26" w:lineRule="exact"/>
        <w:rPr>
          <w:rFonts w:ascii="Times New Roman" w:cs="Times New Roman" w:eastAsia="Times New Roman" w:hAnsi="Times New Roman"/>
          <w:sz w:val="18"/>
          <w:szCs w:val="18"/>
          <w:color w:val="auto"/>
        </w:rPr>
      </w:pPr>
    </w:p>
    <w:p>
      <w:pPr>
        <w:ind w:left="720" w:hanging="360"/>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$1.0 million attributable to the 2027 Revolving Credit Facility included in other assets at December 31, 2024.</w:t>
      </w:r>
    </w:p>
    <w:p>
      <w:pPr>
        <w:spacing w:after="0" w:line="172"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5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 million under the 2027 Term Loan prior to scheduled maturities. In the fourth quarter of 2024, the Company repaid $100 million under th 2027 Term Loan prior to scheduled maturities. As a result, no repayments are required until March 31, 2027. Outstanding letters of credit under the 2027 Revolving Credit Facility were $6,000 and available borrowing capacity was $455 million as of December 31 2025.</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2027 Term Loan is repayable in quarterly installments, with no repayments until March 31, 2027, in increasing percentages</w:t>
      </w:r>
    </w:p>
    <w:p>
      <w:pPr>
        <w:spacing w:after="0" w:line="37"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of the original principal amount of the loan, with the remaining unpaid balance of approximately $43.8 million payable upon maturity, assuming no further prepayments. The 2027 Term Loan is prepayable, in whole or in part, without penalty. The 2027 Credit Agreement provides for a variable interest rate based on the Secured Overnight Financing Rate (“SOFR”) or a base rate calculated</w:t>
      </w:r>
    </w:p>
    <w:p>
      <w:pPr>
        <w:spacing w:after="0" w:line="20" w:lineRule="exact"/>
        <w:rPr>
          <w:sz w:val="20"/>
          <w:szCs w:val="20"/>
          <w:color w:val="auto"/>
        </w:rPr>
      </w:pPr>
    </w:p>
    <w:p>
      <w:pPr>
        <w:sectPr>
          <w:pgSz w:w="12240" w:h="15840" w:orient="portrait"/>
          <w:cols w:equalWidth="0" w:num="1">
            <w:col w:w="10800"/>
          </w:cols>
          <w:pgMar w:left="720" w:top="930" w:right="720" w:bottom="199" w:gutter="0" w:footer="0" w:header="0"/>
        </w:sect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2240" w:h="15840" w:orient="portrait"/>
          <w:cols w:equalWidth="0" w:num="1">
            <w:col w:w="10800"/>
          </w:cols>
          <w:pgMar w:left="720" w:top="930" w:right="720" w:bottom="199" w:gutter="0" w:footer="0" w:header="0"/>
          <w:type w:val="continuous"/>
        </w:sectPr>
      </w:pPr>
    </w:p>
    <w:bookmarkStart w:id="57" w:name="page58"/>
    <w:bookmarkEnd w:id="57"/>
    <w:p>
      <w:pPr>
        <w:jc w:val="both"/>
        <w:spacing w:after="0" w:line="243" w:lineRule="auto"/>
        <w:rPr>
          <w:sz w:val="20"/>
          <w:szCs w:val="20"/>
          <w:color w:val="auto"/>
        </w:rPr>
      </w:pPr>
      <w:r>
        <w:rPr>
          <w:rFonts w:ascii="Times New Roman" w:cs="Times New Roman" w:eastAsia="Times New Roman" w:hAnsi="Times New Roman"/>
          <w:sz w:val="20"/>
          <w:szCs w:val="20"/>
          <w:color w:val="auto"/>
        </w:rPr>
        <w:t>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$500 million of 4.2% senior unsecured notes due March 1, 2028 (the “2028 Notes”) with U.S. Bank National</w:t>
      </w:r>
    </w:p>
    <w:p>
      <w:pPr>
        <w:spacing w:after="0" w:line="36"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Association, as trustee. No principal payments are required until maturity. Interest payments of $10.5 million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 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20" w:lineRule="exact"/>
        <w:rPr>
          <w:sz w:val="20"/>
          <w:szCs w:val="20"/>
          <w:color w:val="auto"/>
        </w:rPr>
      </w:pPr>
    </w:p>
    <w:p>
      <w:pPr>
        <w:spacing w:after="0" w:line="14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February 3, 2022, the Company entered into a note purchase agreement for the issuance of $300 million of unsecured senior notes with a group of institutional investors, consisting of $ 60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 others. The 3.29% unsecured senior notes due February 27, 2023 (the “2023 Notes”) were repaid using a combination of the proceeds from the issuance of the 2033 Notes and availability under the 2027 Revolving Credit Facility.</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a $15.0 million line of credit (“Credit Line”) with Bank of America, N.A. (“Bank of America”) for short-term</w:t>
      </w:r>
    </w:p>
    <w:p>
      <w:pPr>
        <w:spacing w:after="0" w:line="38"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liquidity needs and letters of credit, with a maturity date of June 30, 2026. The Credit Line allows the Company to borrow at an interest rate agreed to by Bank of America and the Company at the time each borrowing is made or continued. Outstanding letters of credit under the $15.0 million credit line were $6.8 million and available borrowing capacity was $8.2 million as of December 31, 2025.</w:t>
      </w:r>
    </w:p>
    <w:p>
      <w:pPr>
        <w:spacing w:after="0" w:line="20" w:lineRule="exact"/>
        <w:rPr>
          <w:sz w:val="20"/>
          <w:szCs w:val="20"/>
          <w:color w:val="auto"/>
        </w:rPr>
      </w:pPr>
    </w:p>
    <w:p>
      <w:pPr>
        <w:spacing w:after="0" w:line="144"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also had $7.4 million and $8.2 million of short-term unsecured loans outstanding, as of December 31, 2025 and 2024, respectively, related to its Colombia operations.</w:t>
      </w:r>
    </w:p>
    <w:p>
      <w:pPr>
        <w:spacing w:after="0" w:line="128" w:lineRule="exact"/>
        <w:rPr>
          <w:sz w:val="20"/>
          <w:szCs w:val="20"/>
          <w:color w:val="auto"/>
        </w:rPr>
      </w:pPr>
    </w:p>
    <w:p>
      <w:pPr>
        <w:jc w:val="both"/>
        <w:ind w:firstLine="356"/>
        <w:spacing w:after="0" w:line="278" w:lineRule="auto"/>
        <w:rPr>
          <w:sz w:val="20"/>
          <w:szCs w:val="20"/>
          <w:color w:val="auto"/>
        </w:rPr>
      </w:pPr>
      <w:r>
        <w:rPr>
          <w:rFonts w:ascii="Times New Roman" w:cs="Times New Roman" w:eastAsia="Times New Roman" w:hAnsi="Times New Roman"/>
          <w:sz w:val="20"/>
          <w:szCs w:val="20"/>
          <w:color w:val="auto"/>
        </w:rPr>
        <w:t>As of December 31, 2025, the Company was in compliance with all covenants under its debt instruments. For additional information about the Company’s debt instruments, see Note 5, Long-Term Debt.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and Capital Expenditures</w:t>
      </w:r>
    </w:p>
    <w:p>
      <w:pPr>
        <w:spacing w:after="0" w:line="20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generated net cash provided by operating activities of $670.2 million, $756.5 million, and $ 540.2 million for the years ended December 31, 2025, 2024, and 2023, respectively. The 11% decrease in 2025 as compared to 2024 was primarily due to t</w:t>
      </w:r>
      <w:r>
        <w:rPr>
          <w:rFonts w:ascii="Times New Roman" w:cs="Times New Roman" w:eastAsia="Times New Roman" w:hAnsi="Times New Roman"/>
          <w:sz w:val="19"/>
          <w:szCs w:val="19"/>
          <w:color w:val="auto"/>
        </w:rPr>
        <w:t>he timing of accounts receivable collections, accounts payable payments and federal income tax payments, as well as an 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inventories in 2025, partially offset by increased net earnings. The increase in inventories was due to the impact of higher business activity levels and efforts to manage supply in KDS resulting in the buildup of inventory for projects, mainly due to power generation orders, which are scheduled to be delivered in 2026. The increase in net earnings was driven by higher term contract pricing in the KMT coastal market and improved KDS business activity levels in the commercial and industrial and power generation markets.</w:t>
      </w:r>
    </w:p>
    <w:p>
      <w:pPr>
        <w:spacing w:after="0" w:line="15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During 2025, 2024, and 2023, the Company generated cash of $31.0 million, $20.4 million, and $26.1 million, respectively, from proceeds from the disposition of assets, and $4.9 million, $9.4 million, and $4.2 million, respectively, from proceeds from the exercise of stock options.</w:t>
      </w: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929" w:right="720" w:bottom="176" w:gutter="0" w:footer="0" w:header="0"/>
          <w:type w:val="continuous"/>
        </w:sectPr>
      </w:pPr>
    </w:p>
    <w:bookmarkStart w:id="58" w:name="page59"/>
    <w:bookmarkEnd w:id="58"/>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 xml:space="preserve">For 2025, cash generated was used for capital expenditures of $ 264.5 million, including $226.6 million </w:t>
      </w:r>
      <w:r>
        <w:rPr>
          <w:rFonts w:ascii="Times New Roman" w:cs="Times New Roman" w:eastAsia="Times New Roman" w:hAnsi="Times New Roman"/>
          <w:sz w:val="19"/>
          <w:szCs w:val="19"/>
          <w:color w:val="auto"/>
        </w:rPr>
        <w:t>associated with marine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maintenance capital and improvements to existing inland and coastal marine equipment and facility improvements, as well as $37.9 million for growth spending in both segments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 Company also used $115.7 million for acquisitions of businesses and marine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equipment, more fully described under Acquisitions above.</w:t>
      </w:r>
    </w:p>
    <w:p>
      <w:pPr>
        <w:spacing w:after="0" w:line="15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For 2024, cash generated was used for capital expenditures of $ 342.7 million, including $232.5 million associated with marine maintenance capital and improvements to existing inland and coastal marine equipment and facility improvements, as well as $110.2 million for growth spending in both segments. The Company also used $77.9 million for acquisitions of businesses and marine equipment, more fully described under Acquisitions above.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Treasury Stock Purchases</w:t>
      </w:r>
    </w:p>
    <w:p>
      <w:pPr>
        <w:spacing w:after="0" w:line="19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 xml:space="preserve">During 2025, the Company purchased 3.7 million shares of its common stock for $354.2 million, at an average price of $96.27 per share. Subsequent to December 31, 2025 and through February 13, 2026, the Company purchased an additional 0.2 million share of its common stock for $28.5 million, at an average price of $120.22 per share. During 2024, the Company purchased 1.6 million shares of its common stock for $174.6 million, at an average price of $106.40 per share. </w:t>
      </w:r>
      <w:r>
        <w:rPr>
          <w:rFonts w:ascii="Times New Roman" w:cs="Times New Roman" w:eastAsia="Times New Roman" w:hAnsi="Times New Roman"/>
          <w:sz w:val="19"/>
          <w:szCs w:val="19"/>
          <w:color w:val="auto"/>
        </w:rPr>
        <w:t>During 2023, the Company purchased 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million shares of its common stock for $112.8 million, at an average price of $75.95 per share. </w:t>
      </w:r>
      <w:r>
        <w:rPr>
          <w:rFonts w:ascii="Times New Roman" w:cs="Times New Roman" w:eastAsia="Times New Roman" w:hAnsi="Times New Roman"/>
          <w:sz w:val="20"/>
          <w:szCs w:val="20"/>
          <w:color w:val="auto"/>
        </w:rPr>
        <w:t>On September 8, 2025, the Board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approved an eight million share increase in the Company’s purchase authorization. As of February 13, 2026, the Company had approximately 7.0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 upon the exercise of stock options or the granting of other forms of incentive compensation, in future acquisitions for stock or for</w:t>
      </w:r>
    </w:p>
    <w:p>
      <w:pPr>
        <w:spacing w:after="0" w:line="6"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other appropriate corporate purposes. For more information about stock purchases in the 2025 fourth quarter, see Item 5. 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20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Funds generated from operations are available for acquisitions, capital expenditure projects, common stock purchases, repayment of borrowings and for other corporate and operating requirements. In addition to net cash flow provided by operating activities, as of February 13, 2026, the Company had cash and cash equivalents of $50.6 million, availability of $435 million under its Revolving Credit Facility and $8.2 million available under its Credit Line.</w:t>
      </w:r>
    </w:p>
    <w:p>
      <w:pPr>
        <w:spacing w:after="0" w:line="154" w:lineRule="exact"/>
        <w:rPr>
          <w:sz w:val="20"/>
          <w:szCs w:val="20"/>
          <w:color w:val="auto"/>
        </w:rPr>
      </w:pPr>
    </w:p>
    <w:p>
      <w:pPr>
        <w:jc w:val="both"/>
        <w:ind w:firstLine="354"/>
        <w:spacing w:after="0" w:line="277" w:lineRule="auto"/>
        <w:rPr>
          <w:sz w:val="20"/>
          <w:szCs w:val="20"/>
          <w:color w:val="auto"/>
        </w:rPr>
      </w:pPr>
      <w:r>
        <w:rPr>
          <w:rFonts w:ascii="Times New Roman" w:cs="Times New Roman" w:eastAsia="Times New Roman" w:hAnsi="Times New Roman"/>
          <w:sz w:val="20"/>
          <w:szCs w:val="20"/>
          <w:color w:val="auto"/>
        </w:rPr>
        <w:t>Neither the Company, nor any of its subsidiaries, is obligated on any debt instrument, swap agreement, or any other financial instrument or commercial contract which has a rating trigger, except for pricing grids on its 2027 Credit Agreement.</w:t>
      </w:r>
    </w:p>
    <w:p>
      <w:pPr>
        <w:spacing w:after="0" w:line="1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expects to continue to be able to fund expenditures for acquisitions, capital construction projects, common stock purchases, repayment of borrowings, and for other operating requirements both in the short term and in the long term from a combination of available cash and cash equivalents, funds generated from operating activities, and available financing arrangements</w:t>
      </w:r>
    </w:p>
    <w:p>
      <w:pPr>
        <w:spacing w:after="0" w:line="14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2027 Revolving Credit Facility’s commitment is in the amount of $500 million, with $45 million currently outstanding at December 31, 2025, and expires July 29, 2027. The $500 million 4.2% senior unsecured notes do not mature until March 1, 2028 and require no prepayments. The 2033 Notes in the amount of $300 million do not mature until January 19, 2033 and require no prepayment. The 2027 Term Loan in the amount of $ 70 million is subject to quarterly installments, beginning March 31, 2027, in increasing percentages of the original principal amount of the loan, with the remaining unpaid balance of approximately $43.8 million payable on July 29, 2027, assuming no further prepayments. The 2027 Term Loan is prepayable, in whole or in part, without penalty</w:t>
      </w:r>
    </w:p>
    <w:p>
      <w:pPr>
        <w:spacing w:after="0" w:line="160"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There are numerous factors that may negatively impact the Company’s cash flow in 2026. For a list of significant risks and uncertainties that could impact cash flows, see Note 14, Contingencies and Commitments in the financial statements, and Item 1A Risk Factors. Amounts available under the Company’s existing financing arrangements are subject to the Company continuing to meet the covenants of the credit facilities as described in Note 5, Long-Term Debt in the financial statements.</w:t>
      </w:r>
    </w:p>
    <w:p>
      <w:pPr>
        <w:spacing w:after="0" w:line="153" w:lineRule="exact"/>
        <w:rPr>
          <w:sz w:val="20"/>
          <w:szCs w:val="20"/>
          <w:color w:val="auto"/>
        </w:rPr>
      </w:pPr>
    </w:p>
    <w:p>
      <w:pPr>
        <w:jc w:val="both"/>
        <w:ind w:firstLine="358"/>
        <w:spacing w:after="0" w:line="247" w:lineRule="auto"/>
        <w:rPr>
          <w:sz w:val="20"/>
          <w:szCs w:val="20"/>
          <w:color w:val="auto"/>
        </w:rPr>
      </w:pPr>
      <w:r>
        <w:rPr>
          <w:rFonts w:ascii="Times New Roman" w:cs="Times New Roman" w:eastAsia="Times New Roman" w:hAnsi="Times New Roman"/>
          <w:sz w:val="20"/>
          <w:szCs w:val="20"/>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$30.2 million at December 31, 2025, including $11.3 million in letters of credit and $18.9 million in performance bonds. All of these instruments have an expiration date within tw years</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does not believe demand for payment under these instruments is likely and expects no material cash outlays to occur in connection with these instruments.</w:t>
      </w: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929" w:right="720" w:bottom="176" w:gutter="0" w:footer="0" w:header="0"/>
          <w:type w:val="continuous"/>
        </w:sectPr>
      </w:pPr>
    </w:p>
    <w:bookmarkStart w:id="59" w:name="page60"/>
    <w:bookmarkEnd w:id="59"/>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Company’s marine transportation term contracts typically contain fuel escalation clauses, or the customer pays for the fuel. However, there is generally a 30 to 120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6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currently leases various facilities and equipment under cancelable and noncancelable operating leases. Future minimum lease payments under operating leases that have initial noncancelable lease terms in excess of one year are detailed in Note 6, Leases. Lease payments for towing vessels exclude non-lease components. The Company estimates that non-lease components comprise approximately 70% of charter rental costs, related to towboat crew costs, maintenance and insurance.</w:t>
      </w:r>
    </w:p>
    <w:p>
      <w:pPr>
        <w:spacing w:after="0" w:line="154"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20"/>
          <w:szCs w:val="20"/>
          <w:color w:val="auto"/>
        </w:rPr>
        <w:t>The Company’s pension plan funding strategy is to make annual contributions in amounts equal to or greater than amounts necessary to meet minimum government funding requirements. The ABO is based on a variety of demographic and economic</w:t>
      </w:r>
    </w:p>
    <w:p>
      <w:pPr>
        <w:spacing w:after="0" w:line="1"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assumptions, and the pension plan assets’ returns are subject to various risks, including market and interest rate risk, making an accurate prediction of the pension plan contribution difficult resulting in the Company electing to only make an expected pensi n contribution forecast of one year. As of December 31, 2025, the Company’s pension plan funding was 142% of the pension plans’ ABO, including the Higman pension plan. The Company expects to make additional pension contributions of $1.2 million in 2026.</w:t>
      </w:r>
    </w:p>
    <w:p>
      <w:pPr>
        <w:spacing w:after="0" w:line="20" w:lineRule="exact"/>
        <w:rPr>
          <w:sz w:val="20"/>
          <w:szCs w:val="20"/>
          <w:color w:val="auto"/>
        </w:rPr>
      </w:pPr>
    </w:p>
    <w:p>
      <w:pPr>
        <w:spacing w:after="0" w:line="14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 xml:space="preserve">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w:t>
      </w:r>
      <w:r>
        <w:rPr>
          <w:rFonts w:ascii="Times New Roman" w:cs="Times New Roman" w:eastAsia="Times New Roman" w:hAnsi="Times New Roman"/>
          <w:sz w:val="19"/>
          <w:szCs w:val="19"/>
          <w:color w:val="auto"/>
        </w:rPr>
        <w:t>To the extent possible, the Company also seeks to include contractual language to address recovery of increased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costs related to tariffs in KDS. </w:t>
      </w:r>
      <w:r>
        <w:rPr>
          <w:rFonts w:ascii="Times New Roman" w:cs="Times New Roman" w:eastAsia="Times New Roman" w:hAnsi="Times New Roman"/>
          <w:sz w:val="20"/>
          <w:szCs w:val="20"/>
          <w:color w:val="auto"/>
        </w:rPr>
        <w:t>The repair portion of KDS is based on prevailing current market rates.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a discussion of recently issued accounting standards, see Note 1, Summary of Significant Accounting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i w:val="1"/>
          <w:iCs w:val="1"/>
          <w:color w:val="auto"/>
        </w:rPr>
        <w:t>Quantitative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Qualitative Disclosures about Market Risk</w:t>
      </w:r>
    </w:p>
    <w:p>
      <w:pPr>
        <w:spacing w:after="0" w:line="20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2025 interest expense by $1.2 million based on balance outstanding at December 31, 2025, and would change the fair value of the Company’s debt by approximately 3.2%.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response to this item is submitted as a separate section of this report (see Item 15, page 80 and pages 50 to 79 of this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929" w:right="720"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ectPr>
          <w:pgSz w:w="12240" w:h="15840" w:orient="portrait"/>
          <w:cols w:equalWidth="0" w:num="1">
            <w:col w:w="10800"/>
          </w:cols>
          <w:pgMar w:left="720" w:top="929" w:right="720" w:bottom="199"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20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Disclosure Controls and Procedures. </w:t>
      </w:r>
      <w:r>
        <w:rPr>
          <w:rFonts w:ascii="Times New Roman" w:cs="Times New Roman" w:eastAsia="Times New Roman" w:hAnsi="Times New Roman"/>
          <w:sz w:val="20"/>
          <w:szCs w:val="20"/>
          <w:color w:val="auto"/>
        </w:rPr>
        <w:t>The Company’s management, with the participation of the Chief Executive Officer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Chief Financial Officer, has evaluated the Company’s disclosure controls and procedures (as defined in Rule 13a-15(e) under the Securities Exchange Act of 1934 (“Exchange Act”)), as of December 31, 2025, as required by Rule 13a-15(b) under the Exchange Act. Based on that evaluation, the Chief Executive Officer and the Chief Financial Officer concluded that, as of December 31, 2025,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6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Management’s Annual Report on Internal Control Over Financial Reporting. </w:t>
      </w:r>
      <w:r>
        <w:rPr>
          <w:rFonts w:ascii="Times New Roman" w:cs="Times New Roman" w:eastAsia="Times New Roman" w:hAnsi="Times New Roman"/>
          <w:sz w:val="20"/>
          <w:szCs w:val="20"/>
          <w:color w:val="auto"/>
        </w:rPr>
        <w:t>Management of the Company is responsible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establishing and maintaining 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2025 using the framework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that evaluation, management concluded that the Company’s internal control over financial reporting was effective as of December 31, 2025. KPMG LLP, the Company’s independent registered public accounting firm, has audited the Company’s internal control over financial reporting, as stated in their report which is included herein.</w:t>
      </w:r>
    </w:p>
    <w:p>
      <w:pPr>
        <w:spacing w:after="0" w:line="162" w:lineRule="exact"/>
        <w:rPr>
          <w:sz w:val="20"/>
          <w:szCs w:val="20"/>
          <w:color w:val="auto"/>
        </w:rPr>
      </w:pPr>
    </w:p>
    <w:p>
      <w:pPr>
        <w:jc w:val="both"/>
        <w:ind w:firstLine="363"/>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jc w:val="both"/>
        <w:ind w:firstLine="359"/>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There were no changes in the Company’s internal control over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during the quarter ended December 31, 2025 that have materially affected, or are reasonably likely to materially affect, the Company’s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i w:val="1"/>
          <w:iCs w:val="1"/>
          <w:color w:val="auto"/>
        </w:rPr>
        <w:t>Other Information</w:t>
      </w:r>
    </w:p>
    <w:p>
      <w:pPr>
        <w:spacing w:after="0" w:line="20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There were no “Rule 10b5-1 trading arrangements” or “non-Rule 10b5-1 trading arrangements” (as defined in Item 408 of Regulation S-K of the Exchange Act) adopted, modified or terminated during the 2025 fourth quarter by the Company’s directors and Section 16 officers.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i w:val="1"/>
          <w:iCs w:val="1"/>
          <w:color w:val="auto"/>
        </w:rPr>
        <w:t>Disclosure Regarding Foreign Jurisdictions that Prevent Inspections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Items 10 Through 14.</w:t>
      </w:r>
    </w:p>
    <w:p>
      <w:pPr>
        <w:spacing w:after="0" w:line="203" w:lineRule="exact"/>
        <w:rPr>
          <w:sz w:val="20"/>
          <w:szCs w:val="20"/>
          <w:color w:val="auto"/>
        </w:rPr>
      </w:pPr>
    </w:p>
    <w:p>
      <w:pPr>
        <w:jc w:val="both"/>
        <w:ind w:firstLine="354"/>
        <w:spacing w:after="0" w:line="259" w:lineRule="auto"/>
        <w:rPr>
          <w:sz w:val="20"/>
          <w:szCs w:val="20"/>
          <w:color w:val="auto"/>
        </w:rPr>
      </w:pPr>
      <w:r>
        <w:rPr>
          <w:rFonts w:ascii="Times New Roman" w:cs="Times New Roman" w:eastAsia="Times New Roman" w:hAnsi="Times New Roman"/>
          <w:sz w:val="20"/>
          <w:szCs w:val="20"/>
          <w:color w:val="auto"/>
        </w:rPr>
        <w:t>The information for these items is incorporated by reference to the definitive proxy statement to be filed by the Company with the Commission pursuant to Regulation 14A within 120 days of the close of the fiscal year ended December 31, 2025, except for the information regarding executive officers which is provided under Item 1.</w:t>
      </w:r>
    </w:p>
    <w:p>
      <w:pPr>
        <w:sectPr>
          <w:pgSz w:w="12240" w:h="15840" w:orient="portrait"/>
          <w:cols w:equalWidth="0" w:num="1">
            <w:col w:w="10800"/>
          </w:cols>
          <w:pgMar w:left="720" w:top="926"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926" w:right="720" w:bottom="176" w:gutter="0" w:footer="0" w:header="0"/>
          <w:type w:val="continuous"/>
        </w:sectPr>
      </w:pPr>
    </w:p>
    <w:bookmarkStart w:id="61" w:name="page62"/>
    <w:bookmarkEnd w:id="61"/>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Kirby Corporation:</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227" w:lineRule="exact"/>
        <w:rPr>
          <w:sz w:val="20"/>
          <w:szCs w:val="20"/>
          <w:color w:val="auto"/>
        </w:rPr>
      </w:pPr>
    </w:p>
    <w:p>
      <w:pPr>
        <w:jc w:val="both"/>
        <w:ind w:firstLine="3"/>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Kirby Corporation and subsidiaries (the Company) as of December 31, 2025 and 2024, the related consolidated statements of earnings,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90" w:lineRule="exact"/>
        <w:rPr>
          <w:sz w:val="20"/>
          <w:szCs w:val="20"/>
          <w:color w:val="auto"/>
        </w:rPr>
      </w:pPr>
    </w:p>
    <w:p>
      <w:pPr>
        <w:jc w:val="both"/>
        <w:ind w:firstLine="3"/>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17, 2026 expressed an unqualified opinion on the effectiveness of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w:t>
      </w:r>
    </w:p>
    <w:p>
      <w:pPr>
        <w:jc w:val="both"/>
        <w:ind w:firstLine="7"/>
        <w:spacing w:after="0" w:line="242" w:lineRule="auto"/>
        <w:rPr>
          <w:sz w:val="20"/>
          <w:szCs w:val="20"/>
          <w:color w:val="auto"/>
        </w:rPr>
      </w:pPr>
      <w:r>
        <w:rPr>
          <w:rFonts w:ascii="Times New Roman" w:cs="Times New Roman" w:eastAsia="Times New Roman" w:hAnsi="Times New Roman"/>
          <w:sz w:val="20"/>
          <w:szCs w:val="20"/>
          <w:color w:val="auto"/>
        </w:rPr>
        <w:t>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Evaluation of potential impairment indicators for coastal marine transportation equipment</w:t>
      </w:r>
    </w:p>
    <w:p>
      <w:pPr>
        <w:spacing w:after="0" w:line="227" w:lineRule="exact"/>
        <w:rPr>
          <w:sz w:val="20"/>
          <w:szCs w:val="20"/>
          <w:color w:val="auto"/>
        </w:rPr>
      </w:pPr>
    </w:p>
    <w:p>
      <w:pPr>
        <w:jc w:val="both"/>
        <w:ind w:left="360" w:firstLine="2"/>
        <w:spacing w:after="0" w:line="246"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Company performs an impairment assessment when circumstances indicate that the carrying amount of its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Recoverability of marine transportation equipment is assessed based on vessel classes. Marine Transportation equipment a of December 31, 2025, was $5,471,078,000, a portion of which related to coastal marine transportation equipment.</w:t>
      </w:r>
    </w:p>
    <w:p>
      <w:pPr>
        <w:spacing w:after="0" w:line="190" w:lineRule="exact"/>
        <w:rPr>
          <w:sz w:val="20"/>
          <w:szCs w:val="20"/>
          <w:color w:val="auto"/>
        </w:rPr>
      </w:pPr>
    </w:p>
    <w:p>
      <w:pPr>
        <w:jc w:val="both"/>
        <w:ind w:left="360" w:firstLine="1"/>
        <w:spacing w:after="0" w:line="259" w:lineRule="auto"/>
        <w:rPr>
          <w:sz w:val="20"/>
          <w:szCs w:val="20"/>
          <w:color w:val="auto"/>
        </w:rPr>
      </w:pPr>
      <w:r>
        <w:rPr>
          <w:rFonts w:ascii="Times New Roman" w:cs="Times New Roman" w:eastAsia="Times New Roman" w:hAnsi="Times New Roman"/>
          <w:sz w:val="20"/>
          <w:szCs w:val="20"/>
          <w:color w:val="auto"/>
        </w:rPr>
        <w:t>We identified the evaluation of potential impairment indicators for coastal marine transportation equipment as a critical audit matter. Evaluating the Company’s judgments in determining whether there was a triggering event required a high degree of subjective auditor judgment.</w:t>
      </w:r>
    </w:p>
    <w:p>
      <w:pPr>
        <w:spacing w:after="0" w:line="176" w:lineRule="exact"/>
        <w:rPr>
          <w:sz w:val="20"/>
          <w:szCs w:val="20"/>
          <w:color w:val="auto"/>
        </w:rPr>
      </w:pPr>
    </w:p>
    <w:p>
      <w:pPr>
        <w:jc w:val="both"/>
        <w:ind w:left="360" w:hanging="1"/>
        <w:spacing w:after="0" w:line="277"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related to the Company’s process to identify and assess triggering event</w:t>
      </w:r>
    </w:p>
    <w:p>
      <w:pPr>
        <w:sectPr>
          <w:pgSz w:w="12240" w:h="15840" w:orient="portrait"/>
          <w:cols w:equalWidth="0" w:num="1">
            <w:col w:w="10800"/>
          </w:cols>
          <w:pgMar w:left="720" w:top="926" w:right="720" w:bottom="176"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26" w:right="720" w:bottom="176" w:gutter="0" w:footer="0" w:header="0"/>
          <w:type w:val="continuous"/>
        </w:sectPr>
      </w:pPr>
    </w:p>
    <w:bookmarkStart w:id="62" w:name="page63"/>
    <w:bookmarkEnd w:id="62"/>
    <w:p>
      <w:pPr>
        <w:jc w:val="both"/>
        <w:ind w:left="360" w:firstLine="1"/>
        <w:spacing w:after="0" w:line="252" w:lineRule="auto"/>
        <w:rPr>
          <w:sz w:val="20"/>
          <w:szCs w:val="20"/>
          <w:color w:val="auto"/>
        </w:rPr>
      </w:pPr>
      <w:r>
        <w:rPr>
          <w:rFonts w:ascii="Times New Roman" w:cs="Times New Roman" w:eastAsia="Times New Roman" w:hAnsi="Times New Roman"/>
          <w:sz w:val="20"/>
          <w:szCs w:val="20"/>
          <w:color w:val="auto"/>
        </w:rPr>
        <w:t>that indicate that the carrying amount of coastal marine transportation equipment may not be recoverable. This included control related to the consideration of contract pricing by vessel class and market conditions in the determination of a triggering event We assessed the Company’s identification of triggering events, including consideration of executed contract pricing and break-</w:t>
      </w:r>
    </w:p>
    <w:p>
      <w:pPr>
        <w:spacing w:after="0" w:line="3" w:lineRule="exact"/>
        <w:rPr>
          <w:sz w:val="20"/>
          <w:szCs w:val="20"/>
          <w:color w:val="auto"/>
        </w:rPr>
      </w:pPr>
    </w:p>
    <w:p>
      <w:pPr>
        <w:jc w:val="both"/>
        <w:ind w:left="360" w:firstLine="5"/>
        <w:spacing w:after="0"/>
        <w:rPr>
          <w:sz w:val="20"/>
          <w:szCs w:val="20"/>
          <w:color w:val="auto"/>
        </w:rPr>
      </w:pPr>
      <w:r>
        <w:rPr>
          <w:rFonts w:ascii="Times New Roman" w:cs="Times New Roman" w:eastAsia="Times New Roman" w:hAnsi="Times New Roman"/>
          <w:sz w:val="20"/>
          <w:szCs w:val="20"/>
          <w:color w:val="auto"/>
        </w:rPr>
        <w:t>even costs by vessel class in addition to other certain qualitative considerations. We compared certain data used by the Compan to relevant executed contracts, historical results, and analyst and industry reports. We evaluated the Company’s responses related to the elements considered and whether the Company omitted any significant internal or external elements in its evaluation.</w:t>
      </w:r>
    </w:p>
    <w:p>
      <w:pPr>
        <w:spacing w:after="0" w:line="20" w:lineRule="exact"/>
        <w:rPr>
          <w:sz w:val="20"/>
          <w:szCs w:val="20"/>
          <w:color w:val="auto"/>
        </w:r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17, 2026</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10800"/>
          </w:cols>
          <w:pgMar w:left="720" w:top="929" w:right="720" w:bottom="187" w:gutter="0" w:footer="0" w:header="0"/>
          <w:type w:val="continuous"/>
        </w:sectPr>
      </w:pPr>
    </w:p>
    <w:bookmarkStart w:id="63" w:name="page64"/>
    <w:bookmarkEnd w:id="63"/>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Kirby Corporation:</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Opinion on Internal Control Over Financial Reporting</w:t>
      </w:r>
    </w:p>
    <w:p>
      <w:pPr>
        <w:spacing w:after="0" w:line="227" w:lineRule="exact"/>
        <w:rPr>
          <w:sz w:val="20"/>
          <w:szCs w:val="20"/>
          <w:color w:val="auto"/>
        </w:rPr>
      </w:pPr>
    </w:p>
    <w:p>
      <w:pPr>
        <w:jc w:val="both"/>
        <w:ind w:firstLine="3"/>
        <w:spacing w:after="0" w:line="252" w:lineRule="auto"/>
        <w:rPr>
          <w:sz w:val="20"/>
          <w:szCs w:val="20"/>
          <w:color w:val="auto"/>
        </w:rPr>
      </w:pPr>
      <w:r>
        <w:rPr>
          <w:rFonts w:ascii="Times New Roman" w:cs="Times New Roman" w:eastAsia="Times New Roman" w:hAnsi="Times New Roman"/>
          <w:sz w:val="20"/>
          <w:szCs w:val="20"/>
          <w:color w:val="auto"/>
        </w:rPr>
        <w:t>We have audited Kirby Corporation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w:t>
      </w:r>
    </w:p>
    <w:p>
      <w:pPr>
        <w:spacing w:after="0" w:line="3"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control over financial reporting as of December 31, 2025, based on criteria established in Internal Control – Integrated Framework (2013) issued by the Committee of Sponsoring Organizations of the Treadway Commission.</w:t>
      </w:r>
    </w:p>
    <w:p>
      <w:pPr>
        <w:spacing w:after="0" w:line="20" w:lineRule="exact"/>
        <w:rPr>
          <w:sz w:val="20"/>
          <w:szCs w:val="20"/>
          <w:color w:val="auto"/>
        </w:rPr>
      </w:pPr>
    </w:p>
    <w:p>
      <w:pPr>
        <w:spacing w:after="0" w:line="173" w:lineRule="exact"/>
        <w:rPr>
          <w:sz w:val="20"/>
          <w:szCs w:val="20"/>
          <w:color w:val="auto"/>
        </w:rPr>
      </w:pPr>
    </w:p>
    <w:p>
      <w:pPr>
        <w:jc w:val="both"/>
        <w:ind w:firstLine="3"/>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earnings, comprehensive income, stockholders’ equity, and cash flows for each of the years in the three-year period ended December 31, 2025, and the related notes (collectively, the consolidated financial statements), and our report dated February 17, 2026 expressed an unqualified opinion on those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w:t>
      </w:r>
    </w:p>
    <w:p>
      <w:pPr>
        <w:spacing w:after="0" w:line="1" w:lineRule="exact"/>
        <w:rPr>
          <w:sz w:val="20"/>
          <w:szCs w:val="20"/>
          <w:color w:val="auto"/>
        </w:rPr>
      </w:pPr>
    </w:p>
    <w:p>
      <w:pPr>
        <w:jc w:val="both"/>
        <w:ind w:firstLine="1"/>
        <w:spacing w:after="0" w:line="248" w:lineRule="auto"/>
        <w:rPr>
          <w:sz w:val="20"/>
          <w:szCs w:val="20"/>
          <w:color w:val="auto"/>
        </w:rPr>
      </w:pPr>
      <w:r>
        <w:rPr>
          <w:rFonts w:ascii="Times New Roman" w:cs="Times New Roman" w:eastAsia="Times New Roman" w:hAnsi="Times New Roman"/>
          <w:sz w:val="20"/>
          <w:szCs w:val="20"/>
          <w:color w:val="auto"/>
        </w:rPr>
        <w:t>respect to the Company in accordance with the U.S. federal securities laws and the applicable rules and regulations of the Securities and Exchange Commission and the PCAOB.</w:t>
      </w:r>
    </w:p>
    <w:p>
      <w:pPr>
        <w:spacing w:after="0" w:line="20" w:lineRule="exact"/>
        <w:rPr>
          <w:sz w:val="20"/>
          <w:szCs w:val="20"/>
          <w:color w:val="auto"/>
        </w:rPr>
      </w:pPr>
    </w:p>
    <w:p>
      <w:pPr>
        <w:spacing w:after="0" w:line="166" w:lineRule="exact"/>
        <w:rPr>
          <w:sz w:val="20"/>
          <w:szCs w:val="20"/>
          <w:color w:val="auto"/>
        </w:rPr>
      </w:pPr>
    </w:p>
    <w:p>
      <w:pPr>
        <w:jc w:val="both"/>
        <w:ind w:firstLine="3"/>
        <w:spacing w:after="0" w:line="24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Reporting</w:t>
      </w:r>
    </w:p>
    <w:p>
      <w:pPr>
        <w:spacing w:after="0" w:line="227" w:lineRule="exact"/>
        <w:rPr>
          <w:sz w:val="20"/>
          <w:szCs w:val="20"/>
          <w:color w:val="auto"/>
        </w:rPr>
      </w:pPr>
    </w:p>
    <w:p>
      <w:pPr>
        <w:jc w:val="both"/>
        <w:ind w:firstLine="2"/>
        <w:spacing w:after="0" w:line="246"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w:t>
      </w:r>
    </w:p>
    <w:p>
      <w:pPr>
        <w:jc w:val="both"/>
        <w:ind w:firstLine="7"/>
        <w:spacing w:after="0" w:line="242" w:lineRule="auto"/>
        <w:rPr>
          <w:sz w:val="20"/>
          <w:szCs w:val="20"/>
          <w:color w:val="auto"/>
        </w:rPr>
      </w:pPr>
      <w:r>
        <w:rPr>
          <w:rFonts w:ascii="Times New Roman" w:cs="Times New Roman" w:eastAsia="Times New Roman" w:hAnsi="Times New Roman"/>
          <w:sz w:val="20"/>
          <w:szCs w:val="20"/>
          <w:color w:val="auto"/>
        </w:rPr>
        <w:t>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w:t>
      </w:r>
    </w:p>
    <w:p>
      <w:pPr>
        <w:spacing w:after="0" w:line="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17, 2026</w:t>
      </w:r>
    </w:p>
    <w:p>
      <w:pPr>
        <w:sectPr>
          <w:pgSz w:w="12240" w:h="15840" w:orient="portrait"/>
          <w:cols w:equalWidth="0" w:num="1">
            <w:col w:w="10800"/>
          </w:cols>
          <w:pgMar w:left="720" w:top="926"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26" w:right="720" w:bottom="176"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KIRBY CORPORATION AND CONSOLIDATED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20" w:type="dxa"/>
            <w:vAlign w:val="bottom"/>
            <w:gridSpan w:val="7"/>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120" w:type="dxa"/>
            <w:vAlign w:val="bottom"/>
            <w:vMerge w:val="continue"/>
          </w:tcPr>
          <w:p>
            <w:pPr>
              <w:spacing w:after="0"/>
              <w:rPr>
                <w:sz w:val="11"/>
                <w:szCs w:val="11"/>
                <w:color w:val="auto"/>
              </w:rPr>
            </w:pPr>
          </w:p>
        </w:tc>
        <w:tc>
          <w:tcPr>
            <w:tcW w:w="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94967277"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5"/>
          </w:tcPr>
          <w:p>
            <w:pPr>
              <w:jc w:val="right"/>
              <w:ind w:right="120"/>
              <w:spacing w:after="0" w:line="179" w:lineRule="exact"/>
              <w:rPr>
                <w:sz w:val="20"/>
                <w:szCs w:val="20"/>
                <w:color w:val="auto"/>
              </w:rPr>
            </w:pPr>
            <w:r>
              <w:rPr>
                <w:rFonts w:ascii="Times New Roman" w:cs="Times New Roman" w:eastAsia="Times New Roman" w:hAnsi="Times New Roman"/>
                <w:sz w:val="16"/>
                <w:szCs w:val="16"/>
                <w:b w:val="1"/>
                <w:bCs w:val="1"/>
                <w:color w:val="auto"/>
              </w:rPr>
              <w:t>($ in</w:t>
            </w:r>
          </w:p>
        </w:tc>
        <w:tc>
          <w:tcPr>
            <w:tcW w:w="700" w:type="dxa"/>
            <w:vAlign w:val="bottom"/>
            <w:gridSpan w:val="4"/>
          </w:tcPr>
          <w:p>
            <w:pPr>
              <w:spacing w:after="0" w:line="179" w:lineRule="exact"/>
              <w:rPr>
                <w:sz w:val="20"/>
                <w:szCs w:val="20"/>
                <w:color w:val="auto"/>
              </w:rPr>
            </w:pPr>
            <w:r>
              <w:rPr>
                <w:rFonts w:ascii="Times New Roman" w:cs="Times New Roman" w:eastAsia="Times New Roman" w:hAnsi="Times New Roman"/>
                <w:sz w:val="16"/>
                <w:szCs w:val="16"/>
                <w:b w:val="1"/>
                <w:bCs w:val="1"/>
                <w:color w:val="auto"/>
                <w:w w:val="90"/>
              </w:rPr>
              <w:t>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0" w:type="dxa"/>
            <w:vAlign w:val="bottom"/>
            <w:tcBorders>
              <w:bottom w:val="single" w:sz="8" w:color="EAEAEA"/>
            </w:tcBorders>
            <w:shd w:val="clear" w:color="auto" w:fill="EAEAEA"/>
          </w:tcPr>
          <w:p>
            <w:pPr>
              <w:spacing w:after="0"/>
              <w:rPr>
                <w:sz w:val="16"/>
                <w:szCs w:val="16"/>
                <w:color w:val="auto"/>
              </w:rPr>
            </w:pPr>
          </w:p>
        </w:tc>
        <w:tc>
          <w:tcPr>
            <w:tcW w:w="200" w:type="dxa"/>
            <w:vAlign w:val="bottom"/>
            <w:tcBorders>
              <w:bottom w:val="single" w:sz="8" w:color="EAEAEA"/>
            </w:tcBorders>
            <w:shd w:val="clear" w:color="auto" w:fill="EAEAEA"/>
          </w:tcPr>
          <w:p>
            <w:pPr>
              <w:spacing w:after="0"/>
              <w:rPr>
                <w:sz w:val="16"/>
                <w:szCs w:val="16"/>
                <w:color w:val="auto"/>
              </w:rPr>
            </w:pPr>
          </w:p>
        </w:tc>
        <w:tc>
          <w:tcPr>
            <w:tcW w:w="640" w:type="dxa"/>
            <w:vAlign w:val="bottom"/>
            <w:tcBorders>
              <w:bottom w:val="single" w:sz="8" w:color="EAEAEA"/>
            </w:tcBorders>
            <w:shd w:val="clear" w:color="auto" w:fill="EAEAEA"/>
          </w:tcPr>
          <w:p>
            <w:pPr>
              <w:spacing w:after="0"/>
              <w:rPr>
                <w:sz w:val="16"/>
                <w:szCs w:val="16"/>
                <w:color w:val="auto"/>
              </w:rPr>
            </w:pPr>
          </w:p>
        </w:tc>
        <w:tc>
          <w:tcPr>
            <w:tcW w:w="760" w:type="dxa"/>
            <w:vAlign w:val="bottom"/>
            <w:tcBorders>
              <w:bottom w:val="single" w:sz="8" w:color="EAEAEA"/>
            </w:tcBorders>
            <w:shd w:val="clear" w:color="auto" w:fill="EAEAEA"/>
          </w:tcPr>
          <w:p>
            <w:pPr>
              <w:spacing w:after="0"/>
              <w:rPr>
                <w:sz w:val="16"/>
                <w:szCs w:val="16"/>
                <w:color w:val="auto"/>
              </w:rPr>
            </w:pPr>
          </w:p>
        </w:tc>
        <w:tc>
          <w:tcPr>
            <w:tcW w:w="2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00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shd w:val="clear" w:color="auto" w:fill="EAEAEA"/>
          </w:tcPr>
          <w:p>
            <w:pPr>
              <w:spacing w:after="0"/>
              <w:rPr>
                <w:sz w:val="16"/>
                <w:szCs w:val="16"/>
                <w:color w:val="auto"/>
              </w:rPr>
            </w:pPr>
          </w:p>
        </w:tc>
        <w:tc>
          <w:tcPr>
            <w:tcW w:w="4340" w:type="dxa"/>
            <w:vAlign w:val="bottom"/>
            <w:tcBorders>
              <w:bottom w:val="single" w:sz="8" w:color="EAEAEA"/>
            </w:tcBorders>
            <w:shd w:val="clear" w:color="auto" w:fill="EAEAEA"/>
          </w:tcPr>
          <w:p>
            <w:pPr>
              <w:jc w:val="center"/>
              <w:ind w:right="3570"/>
              <w:spacing w:after="0" w:line="170" w:lineRule="exact"/>
              <w:rPr>
                <w:sz w:val="20"/>
                <w:szCs w:val="20"/>
                <w:color w:val="auto"/>
              </w:rPr>
            </w:pPr>
            <w:r>
              <w:rPr>
                <w:rFonts w:ascii="Times New Roman" w:cs="Times New Roman" w:eastAsia="Times New Roman" w:hAnsi="Times New Roman"/>
                <w:sz w:val="18"/>
                <w:szCs w:val="18"/>
                <w:b w:val="1"/>
                <w:bCs w:val="1"/>
                <w:color w:val="auto"/>
                <w:shd w:val="clear" w:color="auto" w:fill="EAEAEA"/>
              </w:rPr>
              <w:t>ASSETS</w:t>
            </w:r>
          </w:p>
        </w:tc>
        <w:tc>
          <w:tcPr>
            <w:tcW w:w="80" w:type="dxa"/>
            <w:vAlign w:val="bottom"/>
            <w:tcBorders>
              <w:bottom w:val="single" w:sz="8" w:color="EAEAEA"/>
            </w:tcBorders>
            <w:shd w:val="clear" w:color="auto" w:fill="EAEAEA"/>
          </w:tcPr>
          <w:p>
            <w:pPr>
              <w:spacing w:after="0"/>
              <w:rPr>
                <w:sz w:val="16"/>
                <w:szCs w:val="16"/>
                <w:color w:val="auto"/>
              </w:rPr>
            </w:pPr>
          </w:p>
        </w:tc>
        <w:tc>
          <w:tcPr>
            <w:tcW w:w="5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294967277"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38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0" w:type="dxa"/>
            <w:vAlign w:val="bottom"/>
            <w:tcBorders>
              <w:bottom w:val="single" w:sz="8" w:color="EAEAEA"/>
            </w:tcBorders>
            <w:shd w:val="clear" w:color="auto" w:fill="EAEAEA"/>
          </w:tcPr>
          <w:p>
            <w:pPr>
              <w:spacing w:after="0"/>
              <w:rPr>
                <w:sz w:val="16"/>
                <w:szCs w:val="16"/>
                <w:color w:val="auto"/>
              </w:rPr>
            </w:pPr>
          </w:p>
        </w:tc>
        <w:tc>
          <w:tcPr>
            <w:tcW w:w="1900" w:type="dxa"/>
            <w:vAlign w:val="bottom"/>
            <w:tcBorders>
              <w:bottom w:val="single" w:sz="8" w:color="EAEAEA"/>
            </w:tcBorders>
            <w:gridSpan w:val="5"/>
            <w:shd w:val="clear" w:color="auto" w:fill="EAEAEA"/>
          </w:tcPr>
          <w:p>
            <w:pPr>
              <w:spacing w:after="0" w:line="182" w:lineRule="exact"/>
              <w:rPr>
                <w:sz w:val="20"/>
                <w:szCs w:val="20"/>
                <w:color w:val="auto"/>
              </w:rPr>
            </w:pPr>
            <w:r>
              <w:rPr>
                <w:rFonts w:ascii="Times New Roman" w:cs="Times New Roman" w:eastAsia="Times New Roman" w:hAnsi="Times New Roman"/>
                <w:sz w:val="18"/>
                <w:szCs w:val="18"/>
                <w:color w:val="auto"/>
                <w:w w:val="99"/>
                <w:shd w:val="clear" w:color="auto" w:fill="EAEAEA"/>
              </w:rPr>
              <w:t>Cash and cash equivalents</w:t>
            </w:r>
          </w:p>
        </w:tc>
        <w:tc>
          <w:tcPr>
            <w:tcW w:w="100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shd w:val="clear" w:color="auto" w:fill="EAEAEA"/>
          </w:tcPr>
          <w:p>
            <w:pPr>
              <w:spacing w:after="0"/>
              <w:rPr>
                <w:sz w:val="16"/>
                <w:szCs w:val="16"/>
                <w:color w:val="auto"/>
              </w:rPr>
            </w:pPr>
          </w:p>
        </w:tc>
        <w:tc>
          <w:tcPr>
            <w:tcW w:w="43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gridSpan w:val="4"/>
            <w:shd w:val="clear" w:color="auto" w:fill="EAEAEA"/>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w w:val="92"/>
                <w:shd w:val="clear" w:color="auto" w:fill="EAEAEA"/>
              </w:rPr>
              <w:t>78,775</w:t>
            </w:r>
          </w:p>
        </w:tc>
        <w:tc>
          <w:tcPr>
            <w:tcW w:w="4294967277"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jc w:val="right"/>
              <w:ind w:right="175"/>
              <w:spacing w:after="0" w:line="182"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480" w:type="dxa"/>
            <w:vAlign w:val="bottom"/>
            <w:tcBorders>
              <w:bottom w:val="single" w:sz="8" w:color="EAEAEA"/>
            </w:tcBorders>
            <w:gridSpan w:val="4"/>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w w:val="92"/>
                <w:shd w:val="clear" w:color="auto" w:fill="EAEAEA"/>
              </w:rPr>
              <w:t>74,444</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7440" w:type="dxa"/>
            <w:vAlign w:val="bottom"/>
            <w:gridSpan w:val="7"/>
            <w:shd w:val="clear" w:color="auto" w:fill="EAEAEA"/>
          </w:tcPr>
          <w:p>
            <w:pPr>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Trade — less allowance for doubtful accounts of $7,175 ($7,321 in 2024)</w:t>
            </w: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700" w:type="dxa"/>
            <w:vAlign w:val="bottom"/>
            <w:gridSpan w:val="8"/>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473,497</w:t>
            </w: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720" w:type="dxa"/>
            <w:vAlign w:val="bottom"/>
            <w:gridSpan w:val="7"/>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489,857</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7"/>
                <w:szCs w:val="17"/>
                <w:color w:val="auto"/>
              </w:rPr>
            </w:pPr>
          </w:p>
        </w:tc>
        <w:tc>
          <w:tcPr>
            <w:tcW w:w="12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0" w:type="dxa"/>
            <w:vAlign w:val="bottom"/>
            <w:tcBorders>
              <w:bottom w:val="single" w:sz="8" w:color="EAEAEA"/>
            </w:tcBorders>
            <w:gridSpan w:val="4"/>
            <w:shd w:val="clear" w:color="auto" w:fill="EAEAEA"/>
          </w:tcPr>
          <w:p>
            <w:pPr>
              <w:ind w:left="200"/>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Inventories — net</w:t>
            </w:r>
          </w:p>
        </w:tc>
        <w:tc>
          <w:tcPr>
            <w:tcW w:w="2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00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shd w:val="clear" w:color="auto" w:fill="EAEAEA"/>
          </w:tcPr>
          <w:p>
            <w:pPr>
              <w:spacing w:after="0"/>
              <w:rPr>
                <w:sz w:val="16"/>
                <w:szCs w:val="16"/>
                <w:color w:val="auto"/>
              </w:rPr>
            </w:pPr>
          </w:p>
        </w:tc>
        <w:tc>
          <w:tcPr>
            <w:tcW w:w="43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560" w:type="dxa"/>
            <w:vAlign w:val="bottom"/>
            <w:tcBorders>
              <w:bottom w:val="single" w:sz="8" w:color="EAEAEA"/>
            </w:tcBorders>
            <w:gridSpan w:val="7"/>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2"/>
                <w:shd w:val="clear" w:color="auto" w:fill="EAEAEA"/>
              </w:rPr>
              <w:t>398,026</w:t>
            </w:r>
          </w:p>
        </w:tc>
        <w:tc>
          <w:tcPr>
            <w:tcW w:w="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580" w:type="dxa"/>
            <w:vAlign w:val="bottom"/>
            <w:tcBorders>
              <w:bottom w:val="single" w:sz="8" w:color="EAEAEA"/>
            </w:tcBorders>
            <w:gridSpan w:val="5"/>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5"/>
                <w:shd w:val="clear" w:color="auto" w:fill="EAEAEA"/>
              </w:rPr>
              <w:t>393,898</w:t>
            </w:r>
          </w:p>
        </w:tc>
        <w:tc>
          <w:tcPr>
            <w:tcW w:w="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7840" w:type="dxa"/>
            <w:vAlign w:val="bottom"/>
            <w:gridSpan w:val="9"/>
            <w:vMerge w:val="restart"/>
          </w:tcPr>
          <w:p>
            <w:pPr>
              <w:ind w:left="200"/>
              <w:spacing w:after="0" w:line="198"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4"/>
                <w:szCs w:val="4"/>
                <w:color w:val="auto"/>
              </w:rPr>
            </w:pPr>
          </w:p>
        </w:tc>
        <w:tc>
          <w:tcPr>
            <w:tcW w:w="52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840" w:type="dxa"/>
            <w:vAlign w:val="bottom"/>
            <w:tcBorders>
              <w:bottom w:val="single" w:sz="8" w:color="EAEAEA"/>
            </w:tcBorders>
            <w:gridSpan w:val="9"/>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gridSpan w:val="4"/>
          </w:tcPr>
          <w:p>
            <w:pPr>
              <w:jc w:val="right"/>
              <w:ind w:right="20"/>
              <w:spacing w:after="0" w:line="152" w:lineRule="exact"/>
              <w:rPr>
                <w:sz w:val="20"/>
                <w:szCs w:val="20"/>
                <w:color w:val="auto"/>
              </w:rPr>
            </w:pPr>
            <w:r>
              <w:rPr>
                <w:rFonts w:ascii="Times New Roman" w:cs="Times New Roman" w:eastAsia="Times New Roman" w:hAnsi="Times New Roman"/>
                <w:sz w:val="17"/>
                <w:szCs w:val="17"/>
                <w:color w:val="auto"/>
                <w:highlight w:val="white"/>
                <w:w w:val="98"/>
              </w:rPr>
              <w:t>57,935</w:t>
            </w:r>
          </w:p>
        </w:tc>
        <w:tc>
          <w:tcPr>
            <w:tcW w:w="4294967277"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gridSpan w:val="4"/>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8"/>
              </w:rPr>
              <w:t>63,472</w:t>
            </w:r>
          </w:p>
        </w:tc>
        <w:tc>
          <w:tcPr>
            <w:tcW w:w="80" w:type="dxa"/>
            <w:vAlign w:val="bottom"/>
            <w:tcBorders>
              <w:bottom w:val="single" w:sz="8" w:color="EAEAEA"/>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1400" w:type="dxa"/>
            <w:vAlign w:val="bottom"/>
            <w:tcBorders>
              <w:bottom w:val="single" w:sz="8" w:color="EAEAEA"/>
            </w:tcBorders>
            <w:gridSpan w:val="2"/>
            <w:shd w:val="clear" w:color="auto" w:fill="EAEAEA"/>
          </w:tcPr>
          <w:p>
            <w:pPr>
              <w:spacing w:after="0" w:line="170" w:lineRule="exact"/>
              <w:rPr>
                <w:sz w:val="20"/>
                <w:szCs w:val="20"/>
                <w:color w:val="auto"/>
              </w:rPr>
            </w:pPr>
            <w:r>
              <w:rPr>
                <w:rFonts w:ascii="Times New Roman" w:cs="Times New Roman" w:eastAsia="Times New Roman" w:hAnsi="Times New Roman"/>
                <w:sz w:val="18"/>
                <w:szCs w:val="18"/>
                <w:color w:val="auto"/>
                <w:w w:val="98"/>
                <w:shd w:val="clear" w:color="auto" w:fill="EAEAEA"/>
              </w:rPr>
              <w:t>Total current assets</w:t>
            </w:r>
          </w:p>
        </w:tc>
        <w:tc>
          <w:tcPr>
            <w:tcW w:w="2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43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20" w:type="dxa"/>
            <w:vAlign w:val="bottom"/>
            <w:tcBorders>
              <w:bottom w:val="single" w:sz="8" w:color="EAEAEA"/>
            </w:tcBorders>
            <w:shd w:val="clear" w:color="auto" w:fill="EAEAEA"/>
          </w:tcPr>
          <w:p>
            <w:pPr>
              <w:spacing w:after="0"/>
              <w:rPr>
                <w:sz w:val="17"/>
                <w:szCs w:val="17"/>
                <w:color w:val="auto"/>
              </w:rPr>
            </w:pPr>
          </w:p>
        </w:tc>
        <w:tc>
          <w:tcPr>
            <w:tcW w:w="720" w:type="dxa"/>
            <w:vAlign w:val="bottom"/>
            <w:tcBorders>
              <w:bottom w:val="single" w:sz="8" w:color="EAEAEA"/>
            </w:tcBorders>
            <w:gridSpan w:val="7"/>
            <w:shd w:val="clear" w:color="auto" w:fill="EAEAEA"/>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w w:val="94"/>
              </w:rPr>
              <w:t>1,077,855</w:t>
            </w:r>
          </w:p>
        </w:tc>
        <w:tc>
          <w:tcPr>
            <w:tcW w:w="4294967277"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720" w:type="dxa"/>
            <w:vAlign w:val="bottom"/>
            <w:tcBorders>
              <w:bottom w:val="single" w:sz="8" w:color="EAEAEA"/>
            </w:tcBorders>
            <w:gridSpan w:val="7"/>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7"/>
              </w:rPr>
              <w:t>1,068,559</w:t>
            </w:r>
          </w:p>
        </w:tc>
        <w:tc>
          <w:tcPr>
            <w:tcW w:w="8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94967277"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00" w:type="dxa"/>
            <w:vAlign w:val="bottom"/>
            <w:gridSpan w:val="7"/>
            <w:shd w:val="clear" w:color="auto" w:fill="EAEAEA"/>
          </w:tcPr>
          <w:p>
            <w:pPr>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Property and equipment — net</w:t>
            </w: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240" w:type="dxa"/>
            <w:vAlign w:val="bottom"/>
            <w:gridSpan w:val="8"/>
            <w:shd w:val="clear" w:color="auto" w:fill="EAEAEA"/>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4,098,058</w:t>
            </w:r>
          </w:p>
        </w:tc>
        <w:tc>
          <w:tcPr>
            <w:tcW w:w="4294967277"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60" w:type="dxa"/>
            <w:vAlign w:val="bottom"/>
            <w:gridSpan w:val="8"/>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4,022,966</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Pr>
          <w:p>
            <w:pPr>
              <w:spacing w:after="0"/>
              <w:rPr>
                <w:sz w:val="17"/>
                <w:szCs w:val="17"/>
                <w:color w:val="auto"/>
              </w:rPr>
            </w:pPr>
          </w:p>
        </w:tc>
        <w:tc>
          <w:tcPr>
            <w:tcW w:w="12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193,276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158,990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0" w:type="dxa"/>
            <w:vAlign w:val="bottom"/>
            <w:tcBorders>
              <w:bottom w:val="single" w:sz="8" w:color="EAEAEA"/>
            </w:tcBorders>
            <w:gridSpan w:val="4"/>
            <w:shd w:val="clear" w:color="auto" w:fill="EAEAEA"/>
          </w:tcPr>
          <w:p>
            <w:pPr>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Investment in affiliates</w:t>
            </w:r>
          </w:p>
        </w:tc>
        <w:tc>
          <w:tcPr>
            <w:tcW w:w="2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00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shd w:val="clear" w:color="auto" w:fill="EAEAEA"/>
          </w:tcPr>
          <w:p>
            <w:pPr>
              <w:spacing w:after="0"/>
              <w:rPr>
                <w:sz w:val="16"/>
                <w:szCs w:val="16"/>
                <w:color w:val="auto"/>
              </w:rPr>
            </w:pPr>
          </w:p>
        </w:tc>
        <w:tc>
          <w:tcPr>
            <w:tcW w:w="43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80" w:type="dxa"/>
            <w:vAlign w:val="bottom"/>
            <w:tcBorders>
              <w:bottom w:val="single" w:sz="8" w:color="EAEAEA"/>
            </w:tcBorders>
            <w:gridSpan w:val="3"/>
            <w:shd w:val="clear" w:color="auto" w:fill="EAEAEA"/>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3,188</w:t>
            </w:r>
          </w:p>
        </w:tc>
        <w:tc>
          <w:tcPr>
            <w:tcW w:w="4294967277"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480" w:type="dxa"/>
            <w:vAlign w:val="bottom"/>
            <w:tcBorders>
              <w:bottom w:val="single" w:sz="8" w:color="EAEAEA"/>
            </w:tcBorders>
            <w:gridSpan w:val="4"/>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2,900</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40" w:type="dxa"/>
            <w:vAlign w:val="bottom"/>
            <w:gridSpan w:val="3"/>
          </w:tcPr>
          <w:p>
            <w:pPr>
              <w:spacing w:after="0" w:line="170" w:lineRule="exact"/>
              <w:rPr>
                <w:sz w:val="20"/>
                <w:szCs w:val="20"/>
                <w:color w:val="auto"/>
              </w:rPr>
            </w:pPr>
            <w:r>
              <w:rPr>
                <w:rFonts w:ascii="Times New Roman" w:cs="Times New Roman" w:eastAsia="Times New Roman" w:hAnsi="Times New Roman"/>
                <w:sz w:val="18"/>
                <w:szCs w:val="18"/>
                <w:color w:val="auto"/>
                <w:highlight w:val="white"/>
              </w:rPr>
              <w:t>Goodwill</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7"/>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highlight w:val="white"/>
              </w:rPr>
              <w:t>438,748</w:t>
            </w: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6"/>
          </w:tcPr>
          <w:p>
            <w:pPr>
              <w:jc w:val="right"/>
              <w:spacing w:after="0" w:line="170" w:lineRule="exact"/>
              <w:rPr>
                <w:sz w:val="20"/>
                <w:szCs w:val="20"/>
                <w:color w:val="auto"/>
              </w:rPr>
            </w:pPr>
            <w:r>
              <w:rPr>
                <w:rFonts w:ascii="Times New Roman" w:cs="Times New Roman" w:eastAsia="Times New Roman" w:hAnsi="Times New Roman"/>
                <w:sz w:val="18"/>
                <w:szCs w:val="18"/>
                <w:color w:val="auto"/>
                <w:highlight w:val="white"/>
              </w:rPr>
              <w:t>438,748</w:t>
            </w:r>
          </w:p>
        </w:tc>
        <w:tc>
          <w:tcPr>
            <w:tcW w:w="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94967277"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gridSpan w:val="4"/>
            <w:shd w:val="clear" w:color="auto" w:fill="EAEAEA"/>
          </w:tcPr>
          <w:p>
            <w:pPr>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Other intangibles, net</w:t>
            </w:r>
          </w:p>
        </w:tc>
        <w:tc>
          <w:tcPr>
            <w:tcW w:w="2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500" w:type="dxa"/>
            <w:vAlign w:val="bottom"/>
            <w:gridSpan w:val="4"/>
            <w:shd w:val="clear" w:color="auto" w:fill="EAEAEA"/>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30,165</w:t>
            </w:r>
          </w:p>
        </w:tc>
        <w:tc>
          <w:tcPr>
            <w:tcW w:w="4294967277"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480" w:type="dxa"/>
            <w:vAlign w:val="bottom"/>
            <w:gridSpan w:val="4"/>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34,406</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7840" w:type="dxa"/>
            <w:vAlign w:val="bottom"/>
            <w:gridSpan w:val="9"/>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4"/>
                <w:szCs w:val="4"/>
                <w:color w:val="auto"/>
              </w:rPr>
            </w:pPr>
          </w:p>
        </w:tc>
        <w:tc>
          <w:tcPr>
            <w:tcW w:w="52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840" w:type="dxa"/>
            <w:vAlign w:val="bottom"/>
            <w:tcBorders>
              <w:bottom w:val="single" w:sz="8" w:color="EAEAEA"/>
            </w:tcBorders>
            <w:gridSpan w:val="9"/>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gridSpan w:val="5"/>
          </w:tcPr>
          <w:p>
            <w:pPr>
              <w:jc w:val="right"/>
              <w:ind w:right="20"/>
              <w:spacing w:after="0" w:line="152" w:lineRule="exact"/>
              <w:rPr>
                <w:sz w:val="20"/>
                <w:szCs w:val="20"/>
                <w:color w:val="auto"/>
              </w:rPr>
            </w:pPr>
            <w:r>
              <w:rPr>
                <w:rFonts w:ascii="Times New Roman" w:cs="Times New Roman" w:eastAsia="Times New Roman" w:hAnsi="Times New Roman"/>
                <w:sz w:val="17"/>
                <w:szCs w:val="17"/>
                <w:color w:val="auto"/>
                <w:highlight w:val="white"/>
                <w:w w:val="94"/>
              </w:rPr>
              <w:t>166,755</w:t>
            </w:r>
          </w:p>
        </w:tc>
        <w:tc>
          <w:tcPr>
            <w:tcW w:w="4294967277"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gridSpan w:val="3"/>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4"/>
              </w:rPr>
              <w:t>125,383</w:t>
            </w:r>
          </w:p>
        </w:tc>
        <w:tc>
          <w:tcPr>
            <w:tcW w:w="20" w:type="dxa"/>
            <w:vAlign w:val="bottom"/>
            <w:tcBorders>
              <w:bottom w:val="single" w:sz="8" w:color="auto"/>
            </w:tcBorders>
            <w:vMerge w:val="continue"/>
          </w:tcPr>
          <w:p>
            <w:pPr>
              <w:spacing w:after="0"/>
              <w:rPr>
                <w:sz w:val="13"/>
                <w:szCs w:val="13"/>
                <w:color w:val="auto"/>
              </w:rPr>
            </w:pPr>
          </w:p>
        </w:tc>
        <w:tc>
          <w:tcPr>
            <w:tcW w:w="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EAEAEA"/>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0" w:type="dxa"/>
            <w:vAlign w:val="bottom"/>
            <w:tcBorders>
              <w:bottom w:val="single" w:sz="8" w:color="EAEAEA"/>
            </w:tcBorders>
            <w:shd w:val="clear" w:color="auto" w:fill="EAEAEA"/>
          </w:tcPr>
          <w:p>
            <w:pPr>
              <w:spacing w:after="0"/>
              <w:rPr>
                <w:sz w:val="17"/>
                <w:szCs w:val="17"/>
                <w:color w:val="auto"/>
              </w:rPr>
            </w:pPr>
          </w:p>
        </w:tc>
        <w:tc>
          <w:tcPr>
            <w:tcW w:w="840" w:type="dxa"/>
            <w:vAlign w:val="bottom"/>
            <w:tcBorders>
              <w:bottom w:val="single" w:sz="8" w:color="EAEAEA"/>
            </w:tcBorders>
            <w:gridSpan w:val="2"/>
            <w:shd w:val="clear" w:color="auto" w:fill="EAEAEA"/>
          </w:tcPr>
          <w:p>
            <w:pPr>
              <w:spacing w:after="0" w:line="170" w:lineRule="exact"/>
              <w:rPr>
                <w:sz w:val="20"/>
                <w:szCs w:val="20"/>
                <w:color w:val="auto"/>
              </w:rPr>
            </w:pPr>
            <w:r>
              <w:rPr>
                <w:rFonts w:ascii="Times New Roman" w:cs="Times New Roman" w:eastAsia="Times New Roman" w:hAnsi="Times New Roman"/>
                <w:sz w:val="18"/>
                <w:szCs w:val="18"/>
                <w:color w:val="auto"/>
                <w:w w:val="96"/>
                <w:shd w:val="clear" w:color="auto" w:fill="EAEAEA"/>
              </w:rPr>
              <w:t>Total assets</w:t>
            </w:r>
          </w:p>
        </w:tc>
        <w:tc>
          <w:tcPr>
            <w:tcW w:w="76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43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20" w:type="dxa"/>
            <w:vAlign w:val="bottom"/>
            <w:tcBorders>
              <w:bottom w:val="single" w:sz="8" w:color="EAEAEA"/>
            </w:tcBorders>
            <w:shd w:val="clear" w:color="auto" w:fill="EAEAEA"/>
          </w:tcPr>
          <w:p>
            <w:pPr>
              <w:spacing w:after="0"/>
              <w:rPr>
                <w:sz w:val="17"/>
                <w:szCs w:val="17"/>
                <w:color w:val="auto"/>
              </w:rPr>
            </w:pPr>
          </w:p>
        </w:tc>
        <w:tc>
          <w:tcPr>
            <w:tcW w:w="720" w:type="dxa"/>
            <w:vAlign w:val="bottom"/>
            <w:tcBorders>
              <w:bottom w:val="single" w:sz="8" w:color="EAEAEA"/>
            </w:tcBorders>
            <w:gridSpan w:val="7"/>
            <w:shd w:val="clear" w:color="auto" w:fill="EAEAEA"/>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w w:val="94"/>
                <w:shd w:val="clear" w:color="auto" w:fill="EAEAEA"/>
              </w:rPr>
              <w:t>6,008,045</w:t>
            </w:r>
          </w:p>
        </w:tc>
        <w:tc>
          <w:tcPr>
            <w:tcW w:w="4294967277"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jc w:val="right"/>
              <w:ind w:right="175"/>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720" w:type="dxa"/>
            <w:vAlign w:val="bottom"/>
            <w:tcBorders>
              <w:bottom w:val="single" w:sz="8" w:color="EAEAEA"/>
            </w:tcBorders>
            <w:gridSpan w:val="7"/>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7"/>
                <w:shd w:val="clear" w:color="auto" w:fill="EAEAEA"/>
              </w:rPr>
              <w:t>5,851,952</w:t>
            </w:r>
          </w:p>
        </w:tc>
        <w:tc>
          <w:tcPr>
            <w:tcW w:w="8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94967277"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6040" w:type="dxa"/>
            <w:vAlign w:val="bottom"/>
            <w:gridSpan w:val="5"/>
            <w:shd w:val="clear" w:color="auto" w:fill="EAEAEA"/>
          </w:tcPr>
          <w:p>
            <w:pPr>
              <w:jc w:val="center"/>
              <w:ind w:right="1870"/>
              <w:spacing w:after="0" w:line="201" w:lineRule="exact"/>
              <w:rPr>
                <w:sz w:val="20"/>
                <w:szCs w:val="20"/>
                <w:color w:val="auto"/>
              </w:rPr>
            </w:pPr>
            <w:r>
              <w:rPr>
                <w:rFonts w:ascii="Times New Roman" w:cs="Times New Roman" w:eastAsia="Times New Roman" w:hAnsi="Times New Roman"/>
                <w:sz w:val="18"/>
                <w:szCs w:val="18"/>
                <w:b w:val="1"/>
                <w:bCs w:val="1"/>
                <w:color w:val="auto"/>
                <w:shd w:val="clear" w:color="auto" w:fill="EAEAEA"/>
              </w:rPr>
              <w:t>LIABILITIES AND STOCKHOLDERS’ EQUITY</w:t>
            </w: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294967277"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0" w:type="dxa"/>
            <w:vAlign w:val="bottom"/>
            <w:tcBorders>
              <w:bottom w:val="single" w:sz="8" w:color="EAEAEA"/>
            </w:tcBorders>
            <w:gridSpan w:val="4"/>
            <w:shd w:val="clear" w:color="auto" w:fill="EAEAEA"/>
          </w:tcPr>
          <w:p>
            <w:pPr>
              <w:ind w:left="200"/>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Bank notes payable</w:t>
            </w:r>
          </w:p>
        </w:tc>
        <w:tc>
          <w:tcPr>
            <w:tcW w:w="2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00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shd w:val="clear" w:color="auto" w:fill="EAEAEA"/>
          </w:tcPr>
          <w:p>
            <w:pPr>
              <w:spacing w:after="0"/>
              <w:rPr>
                <w:sz w:val="16"/>
                <w:szCs w:val="16"/>
                <w:color w:val="auto"/>
              </w:rPr>
            </w:pPr>
          </w:p>
        </w:tc>
        <w:tc>
          <w:tcPr>
            <w:tcW w:w="43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gridSpan w:val="2"/>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60" w:type="dxa"/>
            <w:vAlign w:val="bottom"/>
            <w:tcBorders>
              <w:bottom w:val="single" w:sz="8" w:color="EAEAEA"/>
            </w:tcBorders>
            <w:gridSpan w:val="4"/>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7,357</w:t>
            </w:r>
          </w:p>
        </w:tc>
        <w:tc>
          <w:tcPr>
            <w:tcW w:w="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jc w:val="right"/>
              <w:ind w:right="175"/>
              <w:spacing w:after="0" w:line="182"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gridSpan w:val="2"/>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gridSpan w:val="3"/>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shd w:val="clear" w:color="auto" w:fill="EAEAEA"/>
              </w:rPr>
              <w:t>8,226</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0" w:type="dxa"/>
            <w:vAlign w:val="bottom"/>
            <w:gridSpan w:val="4"/>
            <w:shd w:val="clear" w:color="auto" w:fill="EAEAEA"/>
          </w:tcPr>
          <w:p>
            <w:pPr>
              <w:ind w:left="200"/>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Accounts payable</w:t>
            </w:r>
          </w:p>
        </w:tc>
        <w:tc>
          <w:tcPr>
            <w:tcW w:w="2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700" w:type="dxa"/>
            <w:vAlign w:val="bottom"/>
            <w:gridSpan w:val="8"/>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218,614</w:t>
            </w: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720" w:type="dxa"/>
            <w:vAlign w:val="bottom"/>
            <w:gridSpan w:val="7"/>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251,354</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0" w:type="dxa"/>
            <w:vAlign w:val="bottom"/>
            <w:tcBorders>
              <w:bottom w:val="single" w:sz="8" w:color="EAEAEA"/>
            </w:tcBorders>
            <w:shd w:val="clear" w:color="auto" w:fill="EAEAEA"/>
          </w:tcPr>
          <w:p>
            <w:pPr>
              <w:spacing w:after="0"/>
              <w:rPr>
                <w:sz w:val="16"/>
                <w:szCs w:val="16"/>
                <w:color w:val="auto"/>
              </w:rPr>
            </w:pPr>
          </w:p>
        </w:tc>
        <w:tc>
          <w:tcPr>
            <w:tcW w:w="840" w:type="dxa"/>
            <w:vAlign w:val="bottom"/>
            <w:tcBorders>
              <w:bottom w:val="single" w:sz="8" w:color="EAEAEA"/>
            </w:tcBorders>
            <w:gridSpan w:val="2"/>
            <w:shd w:val="clear" w:color="auto" w:fill="EAEAEA"/>
          </w:tcPr>
          <w:p>
            <w:pPr>
              <w:ind w:left="200"/>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Interest</w:t>
            </w:r>
          </w:p>
        </w:tc>
        <w:tc>
          <w:tcPr>
            <w:tcW w:w="760" w:type="dxa"/>
            <w:vAlign w:val="bottom"/>
            <w:tcBorders>
              <w:bottom w:val="single" w:sz="8" w:color="EAEAEA"/>
            </w:tcBorders>
            <w:shd w:val="clear" w:color="auto" w:fill="EAEAEA"/>
          </w:tcPr>
          <w:p>
            <w:pPr>
              <w:spacing w:after="0"/>
              <w:rPr>
                <w:sz w:val="16"/>
                <w:szCs w:val="16"/>
                <w:color w:val="auto"/>
              </w:rPr>
            </w:pPr>
          </w:p>
        </w:tc>
        <w:tc>
          <w:tcPr>
            <w:tcW w:w="2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00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shd w:val="clear" w:color="auto" w:fill="EAEAEA"/>
          </w:tcPr>
          <w:p>
            <w:pPr>
              <w:spacing w:after="0"/>
              <w:rPr>
                <w:sz w:val="16"/>
                <w:szCs w:val="16"/>
                <w:color w:val="auto"/>
              </w:rPr>
            </w:pPr>
          </w:p>
        </w:tc>
        <w:tc>
          <w:tcPr>
            <w:tcW w:w="43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gridSpan w:val="2"/>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60" w:type="dxa"/>
            <w:vAlign w:val="bottom"/>
            <w:tcBorders>
              <w:bottom w:val="single" w:sz="8" w:color="EAEAEA"/>
            </w:tcBorders>
            <w:gridSpan w:val="4"/>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shd w:val="clear" w:color="auto" w:fill="EAEAEA"/>
              </w:rPr>
              <w:t>11,866</w:t>
            </w:r>
          </w:p>
        </w:tc>
        <w:tc>
          <w:tcPr>
            <w:tcW w:w="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gridSpan w:val="2"/>
            <w:shd w:val="clear" w:color="auto" w:fill="EAEAEA"/>
          </w:tcPr>
          <w:p>
            <w:pPr>
              <w:spacing w:after="0"/>
              <w:rPr>
                <w:sz w:val="16"/>
                <w:szCs w:val="16"/>
                <w:color w:val="auto"/>
              </w:rPr>
            </w:pPr>
          </w:p>
        </w:tc>
        <w:tc>
          <w:tcPr>
            <w:tcW w:w="480" w:type="dxa"/>
            <w:vAlign w:val="bottom"/>
            <w:tcBorders>
              <w:bottom w:val="single" w:sz="8" w:color="EAEAEA"/>
            </w:tcBorders>
            <w:gridSpan w:val="3"/>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2"/>
                <w:shd w:val="clear" w:color="auto" w:fill="EAEAEA"/>
              </w:rPr>
              <w:t>11,975</w:t>
            </w:r>
          </w:p>
        </w:tc>
        <w:tc>
          <w:tcPr>
            <w:tcW w:w="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764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Insurance premiums and claims</w:t>
            </w:r>
          </w:p>
        </w:tc>
        <w:tc>
          <w:tcPr>
            <w:tcW w:w="80" w:type="dxa"/>
            <w:vAlign w:val="bottom"/>
          </w:tcPr>
          <w:p>
            <w:pPr>
              <w:spacing w:after="0"/>
              <w:rPr>
                <w:sz w:val="17"/>
                <w:szCs w:val="17"/>
                <w:color w:val="auto"/>
              </w:rPr>
            </w:pPr>
          </w:p>
        </w:tc>
        <w:tc>
          <w:tcPr>
            <w:tcW w:w="12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82,646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88,432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EAEAEA"/>
          </w:tcPr>
          <w:p>
            <w:pPr>
              <w:spacing w:after="0"/>
              <w:rPr>
                <w:sz w:val="17"/>
                <w:szCs w:val="17"/>
                <w:color w:val="auto"/>
              </w:rPr>
            </w:pPr>
          </w:p>
        </w:tc>
        <w:tc>
          <w:tcPr>
            <w:tcW w:w="2900" w:type="dxa"/>
            <w:vAlign w:val="bottom"/>
            <w:gridSpan w:val="6"/>
            <w:shd w:val="clear" w:color="auto" w:fill="EAEAEA"/>
          </w:tcPr>
          <w:p>
            <w:pPr>
              <w:ind w:left="200"/>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Employee compensation</w:t>
            </w: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gridSpan w:val="2"/>
            <w:shd w:val="clear" w:color="auto" w:fill="EAEAEA"/>
          </w:tcPr>
          <w:p>
            <w:pPr>
              <w:spacing w:after="0"/>
              <w:rPr>
                <w:sz w:val="17"/>
                <w:szCs w:val="17"/>
                <w:color w:val="auto"/>
              </w:rPr>
            </w:pPr>
          </w:p>
        </w:tc>
        <w:tc>
          <w:tcPr>
            <w:tcW w:w="480" w:type="dxa"/>
            <w:vAlign w:val="bottom"/>
            <w:gridSpan w:val="5"/>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65,719</w:t>
            </w: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gridSpan w:val="2"/>
            <w:shd w:val="clear" w:color="auto" w:fill="EAEAEA"/>
          </w:tcPr>
          <w:p>
            <w:pPr>
              <w:spacing w:after="0"/>
              <w:rPr>
                <w:sz w:val="17"/>
                <w:szCs w:val="17"/>
                <w:color w:val="auto"/>
              </w:rPr>
            </w:pPr>
          </w:p>
        </w:tc>
        <w:tc>
          <w:tcPr>
            <w:tcW w:w="480" w:type="dxa"/>
            <w:vAlign w:val="bottom"/>
            <w:gridSpan w:val="3"/>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68,298</w:t>
            </w:r>
          </w:p>
        </w:tc>
        <w:tc>
          <w:tcPr>
            <w:tcW w:w="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764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Taxes — other than on income</w:t>
            </w:r>
          </w:p>
        </w:tc>
        <w:tc>
          <w:tcPr>
            <w:tcW w:w="80" w:type="dxa"/>
            <w:vAlign w:val="bottom"/>
          </w:tcPr>
          <w:p>
            <w:pPr>
              <w:spacing w:after="0"/>
              <w:rPr>
                <w:sz w:val="17"/>
                <w:szCs w:val="17"/>
                <w:color w:val="auto"/>
              </w:rPr>
            </w:pPr>
          </w:p>
        </w:tc>
        <w:tc>
          <w:tcPr>
            <w:tcW w:w="12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35,854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0" w:type="dxa"/>
            <w:vAlign w:val="bottom"/>
            <w:tcBorders>
              <w:bottom w:val="single" w:sz="8" w:color="EAEAEA"/>
            </w:tcBorders>
            <w:shd w:val="clear" w:color="auto" w:fill="EAEAEA"/>
          </w:tcPr>
          <w:p>
            <w:pPr>
              <w:spacing w:after="0"/>
              <w:rPr>
                <w:sz w:val="16"/>
                <w:szCs w:val="16"/>
                <w:color w:val="auto"/>
              </w:rPr>
            </w:pPr>
          </w:p>
        </w:tc>
        <w:tc>
          <w:tcPr>
            <w:tcW w:w="200" w:type="dxa"/>
            <w:vAlign w:val="bottom"/>
            <w:tcBorders>
              <w:bottom w:val="single" w:sz="8" w:color="EAEAEA"/>
            </w:tcBorders>
            <w:shd w:val="clear" w:color="auto" w:fill="EAEAEA"/>
          </w:tcPr>
          <w:p>
            <w:pPr>
              <w:spacing w:after="0"/>
              <w:rPr>
                <w:sz w:val="16"/>
                <w:szCs w:val="16"/>
                <w:color w:val="auto"/>
              </w:rPr>
            </w:pPr>
          </w:p>
        </w:tc>
        <w:tc>
          <w:tcPr>
            <w:tcW w:w="640" w:type="dxa"/>
            <w:vAlign w:val="bottom"/>
            <w:tcBorders>
              <w:bottom w:val="single" w:sz="8" w:color="EAEAEA"/>
            </w:tcBorders>
            <w:shd w:val="clear" w:color="auto" w:fill="EAEAEA"/>
          </w:tcPr>
          <w:p>
            <w:pPr>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Other</w:t>
            </w:r>
          </w:p>
        </w:tc>
        <w:tc>
          <w:tcPr>
            <w:tcW w:w="760" w:type="dxa"/>
            <w:vAlign w:val="bottom"/>
            <w:tcBorders>
              <w:bottom w:val="single" w:sz="8" w:color="EAEAEA"/>
            </w:tcBorders>
            <w:shd w:val="clear" w:color="auto" w:fill="EAEAEA"/>
          </w:tcPr>
          <w:p>
            <w:pPr>
              <w:spacing w:after="0"/>
              <w:rPr>
                <w:sz w:val="16"/>
                <w:szCs w:val="16"/>
                <w:color w:val="auto"/>
              </w:rPr>
            </w:pPr>
          </w:p>
        </w:tc>
        <w:tc>
          <w:tcPr>
            <w:tcW w:w="2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00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shd w:val="clear" w:color="auto" w:fill="EAEAEA"/>
          </w:tcPr>
          <w:p>
            <w:pPr>
              <w:spacing w:after="0"/>
              <w:rPr>
                <w:sz w:val="16"/>
                <w:szCs w:val="16"/>
                <w:color w:val="auto"/>
              </w:rPr>
            </w:pPr>
          </w:p>
        </w:tc>
        <w:tc>
          <w:tcPr>
            <w:tcW w:w="43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gridSpan w:val="2"/>
            <w:shd w:val="clear" w:color="auto" w:fill="EAEAEA"/>
          </w:tcPr>
          <w:p>
            <w:pPr>
              <w:spacing w:after="0"/>
              <w:rPr>
                <w:sz w:val="16"/>
                <w:szCs w:val="16"/>
                <w:color w:val="auto"/>
              </w:rPr>
            </w:pPr>
          </w:p>
        </w:tc>
        <w:tc>
          <w:tcPr>
            <w:tcW w:w="480" w:type="dxa"/>
            <w:vAlign w:val="bottom"/>
            <w:tcBorders>
              <w:bottom w:val="single" w:sz="8" w:color="EAEAEA"/>
            </w:tcBorders>
            <w:gridSpan w:val="3"/>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shd w:val="clear" w:color="auto" w:fill="EAEAEA"/>
              </w:rPr>
              <w:t>40,431</w:t>
            </w:r>
          </w:p>
        </w:tc>
        <w:tc>
          <w:tcPr>
            <w:tcW w:w="0" w:type="dxa"/>
            <w:vAlign w:val="bottom"/>
            <w:tcBorders>
              <w:bottom w:val="single" w:sz="8" w:color="EAEAEA"/>
            </w:tcBorders>
            <w:gridSpan w:val="2"/>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gridSpan w:val="2"/>
            <w:shd w:val="clear" w:color="auto" w:fill="EAEAEA"/>
          </w:tcPr>
          <w:p>
            <w:pPr>
              <w:spacing w:after="0"/>
              <w:rPr>
                <w:sz w:val="16"/>
                <w:szCs w:val="16"/>
                <w:color w:val="auto"/>
              </w:rPr>
            </w:pPr>
          </w:p>
        </w:tc>
        <w:tc>
          <w:tcPr>
            <w:tcW w:w="480" w:type="dxa"/>
            <w:vAlign w:val="bottom"/>
            <w:tcBorders>
              <w:bottom w:val="single" w:sz="8" w:color="EAEAEA"/>
            </w:tcBorders>
            <w:gridSpan w:val="4"/>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2"/>
                <w:shd w:val="clear" w:color="auto" w:fill="EAEAEA"/>
              </w:rPr>
              <w:t>32,254</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7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80" w:type="dxa"/>
            <w:vAlign w:val="bottom"/>
          </w:tcPr>
          <w:p>
            <w:pPr>
              <w:spacing w:after="0"/>
              <w:rPr>
                <w:sz w:val="17"/>
                <w:szCs w:val="17"/>
                <w:color w:val="auto"/>
              </w:rPr>
            </w:pPr>
          </w:p>
        </w:tc>
        <w:tc>
          <w:tcPr>
            <w:tcW w:w="12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35,727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0" w:type="dxa"/>
            <w:vAlign w:val="bottom"/>
            <w:tcBorders>
              <w:bottom w:val="single" w:sz="8" w:color="EAEAEA"/>
            </w:tcBorders>
            <w:gridSpan w:val="4"/>
            <w:shd w:val="clear" w:color="auto" w:fill="EAEAEA"/>
          </w:tcPr>
          <w:p>
            <w:pPr>
              <w:ind w:left="200"/>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Deferred revenues</w:t>
            </w:r>
          </w:p>
        </w:tc>
        <w:tc>
          <w:tcPr>
            <w:tcW w:w="2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43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20" w:type="dxa"/>
            <w:vAlign w:val="bottom"/>
            <w:tcBorders>
              <w:bottom w:val="single" w:sz="8" w:color="EAEAEA"/>
            </w:tcBorders>
            <w:shd w:val="clear" w:color="auto" w:fill="EAEAEA"/>
          </w:tcPr>
          <w:p>
            <w:pPr>
              <w:spacing w:after="0"/>
              <w:rPr>
                <w:sz w:val="17"/>
                <w:szCs w:val="17"/>
                <w:color w:val="auto"/>
              </w:rPr>
            </w:pPr>
          </w:p>
        </w:tc>
        <w:tc>
          <w:tcPr>
            <w:tcW w:w="700" w:type="dxa"/>
            <w:vAlign w:val="bottom"/>
            <w:tcBorders>
              <w:bottom w:val="single" w:sz="8" w:color="EAEAEA"/>
            </w:tcBorders>
            <w:gridSpan w:val="8"/>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202,164</w:t>
            </w: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560" w:type="dxa"/>
            <w:vAlign w:val="bottom"/>
            <w:tcBorders>
              <w:bottom w:val="single" w:sz="8" w:color="EAEAEA"/>
            </w:tcBorders>
            <w:gridSpan w:val="5"/>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2"/>
                <w:shd w:val="clear" w:color="auto" w:fill="EAEAEA"/>
              </w:rPr>
              <w:t>177,216</w:t>
            </w:r>
          </w:p>
        </w:tc>
        <w:tc>
          <w:tcPr>
            <w:tcW w:w="8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7640" w:type="dxa"/>
            <w:vAlign w:val="bottom"/>
            <w:gridSpan w:val="8"/>
            <w:vMerge w:val="restart"/>
          </w:tcPr>
          <w:p>
            <w:pPr>
              <w:ind w:left="200"/>
              <w:spacing w:after="0" w:line="193" w:lineRule="exact"/>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vMerge w:val="restart"/>
          </w:tcPr>
          <w:p>
            <w:pPr>
              <w:spacing w:after="0"/>
              <w:rPr>
                <w:sz w:val="3"/>
                <w:szCs w:val="3"/>
                <w:color w:val="auto"/>
              </w:rPr>
            </w:pPr>
          </w:p>
        </w:tc>
        <w:tc>
          <w:tcPr>
            <w:tcW w:w="140" w:type="dxa"/>
            <w:vAlign w:val="bottom"/>
            <w:tcBorders>
              <w:top w:val="single" w:sz="8" w:color="auto"/>
            </w:tcBorders>
            <w:vMerge w:val="restart"/>
          </w:tcPr>
          <w:p>
            <w:pPr>
              <w:spacing w:after="0"/>
              <w:rPr>
                <w:sz w:val="3"/>
                <w:szCs w:val="3"/>
                <w:color w:val="auto"/>
              </w:rPr>
            </w:pPr>
          </w:p>
        </w:tc>
        <w:tc>
          <w:tcPr>
            <w:tcW w:w="80" w:type="dxa"/>
            <w:vAlign w:val="bottom"/>
            <w:tcBorders>
              <w:top w:val="single" w:sz="8" w:color="auto"/>
            </w:tcBorders>
            <w:gridSpan w:val="2"/>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0" w:type="dxa"/>
            <w:vAlign w:val="bottom"/>
            <w:tcBorders>
              <w:top w:val="single" w:sz="8" w:color="auto"/>
            </w:tcBorders>
            <w:gridSpan w:val="2"/>
          </w:tcPr>
          <w:p>
            <w:pPr>
              <w:spacing w:after="0"/>
              <w:rPr>
                <w:sz w:val="3"/>
                <w:szCs w:val="3"/>
                <w:color w:val="auto"/>
              </w:rPr>
            </w:pPr>
          </w:p>
        </w:tc>
        <w:tc>
          <w:tcPr>
            <w:tcW w:w="20" w:type="dxa"/>
            <w:vAlign w:val="bottom"/>
            <w:tcBorders>
              <w:top w:val="single" w:sz="8" w:color="auto"/>
            </w:tcBorders>
            <w:vMerge w:val="restart"/>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vMerge w:val="restart"/>
          </w:tcPr>
          <w:p>
            <w:pPr>
              <w:spacing w:after="0"/>
              <w:rPr>
                <w:sz w:val="3"/>
                <w:szCs w:val="3"/>
                <w:color w:val="auto"/>
              </w:rPr>
            </w:pPr>
          </w:p>
        </w:tc>
        <w:tc>
          <w:tcPr>
            <w:tcW w:w="140" w:type="dxa"/>
            <w:vAlign w:val="bottom"/>
            <w:tcBorders>
              <w:top w:val="single" w:sz="8" w:color="auto"/>
            </w:tcBorders>
            <w:vMerge w:val="restart"/>
          </w:tcPr>
          <w:p>
            <w:pPr>
              <w:spacing w:after="0"/>
              <w:rPr>
                <w:sz w:val="3"/>
                <w:szCs w:val="3"/>
                <w:color w:val="auto"/>
              </w:rPr>
            </w:pPr>
          </w:p>
        </w:tc>
        <w:tc>
          <w:tcPr>
            <w:tcW w:w="180" w:type="dxa"/>
            <w:vAlign w:val="bottom"/>
            <w:tcBorders>
              <w:top w:val="single" w:sz="8" w:color="auto"/>
            </w:tcBorders>
            <w:gridSpan w:val="3"/>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gridSpan w:val="2"/>
            <w:vMerge w:val="restart"/>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EAEAEA"/>
            </w:tcBorders>
          </w:tcPr>
          <w:p>
            <w:pPr>
              <w:spacing w:after="0"/>
              <w:rPr>
                <w:sz w:val="13"/>
                <w:szCs w:val="13"/>
                <w:color w:val="auto"/>
              </w:rPr>
            </w:pPr>
          </w:p>
        </w:tc>
        <w:tc>
          <w:tcPr>
            <w:tcW w:w="7640" w:type="dxa"/>
            <w:vAlign w:val="bottom"/>
            <w:tcBorders>
              <w:bottom w:val="single" w:sz="8" w:color="EAEAEA"/>
            </w:tcBorders>
            <w:gridSpan w:val="8"/>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gridSpan w:val="7"/>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7"/>
              </w:rPr>
              <w:t>706,524</w:t>
            </w:r>
          </w:p>
        </w:tc>
        <w:tc>
          <w:tcPr>
            <w:tcW w:w="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gridSpan w:val="4"/>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7"/>
              </w:rPr>
              <w:t>734,753</w:t>
            </w:r>
          </w:p>
        </w:tc>
        <w:tc>
          <w:tcPr>
            <w:tcW w:w="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EAEAEA"/>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00" w:type="dxa"/>
            <w:vAlign w:val="bottom"/>
            <w:gridSpan w:val="7"/>
            <w:shd w:val="clear" w:color="auto" w:fill="EAEAEA"/>
          </w:tcPr>
          <w:p>
            <w:pPr>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EAEAEA"/>
              </w:rPr>
              <w:t>Long-term debt, net — less current portion</w:t>
            </w: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560" w:type="dxa"/>
            <w:vAlign w:val="bottom"/>
            <w:gridSpan w:val="7"/>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911,924</w:t>
            </w: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580" w:type="dxa"/>
            <w:vAlign w:val="bottom"/>
            <w:gridSpan w:val="6"/>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shd w:val="clear" w:color="auto" w:fill="EAEAEA"/>
              </w:rPr>
              <w:t>866,722</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7"/>
                <w:szCs w:val="17"/>
                <w:color w:val="auto"/>
              </w:rPr>
            </w:pPr>
          </w:p>
        </w:tc>
        <w:tc>
          <w:tcPr>
            <w:tcW w:w="12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826,373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739,472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gridSpan w:val="8"/>
            <w:shd w:val="clear" w:color="auto" w:fill="EAEAEA"/>
          </w:tcPr>
          <w:p>
            <w:pPr>
              <w:spacing w:after="0" w:line="198" w:lineRule="exact"/>
              <w:rPr>
                <w:sz w:val="20"/>
                <w:szCs w:val="20"/>
                <w:color w:val="auto"/>
              </w:rPr>
            </w:pPr>
            <w:r>
              <w:rPr>
                <w:rFonts w:ascii="Times New Roman" w:cs="Times New Roman" w:eastAsia="Times New Roman" w:hAnsi="Times New Roman"/>
                <w:sz w:val="18"/>
                <w:szCs w:val="18"/>
                <w:color w:val="auto"/>
                <w:w w:val="99"/>
                <w:shd w:val="clear" w:color="auto" w:fill="EAEAEA"/>
              </w:rPr>
              <w:t>Operating lease liabilities — less current portion</w:t>
            </w:r>
          </w:p>
        </w:tc>
        <w:tc>
          <w:tcPr>
            <w:tcW w:w="43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60" w:type="dxa"/>
            <w:vAlign w:val="bottom"/>
            <w:gridSpan w:val="2"/>
            <w:shd w:val="clear" w:color="auto" w:fill="EAEAEA"/>
          </w:tcPr>
          <w:p>
            <w:pPr>
              <w:spacing w:after="0"/>
              <w:rPr>
                <w:sz w:val="17"/>
                <w:szCs w:val="17"/>
                <w:color w:val="auto"/>
              </w:rPr>
            </w:pPr>
          </w:p>
        </w:tc>
        <w:tc>
          <w:tcPr>
            <w:tcW w:w="540" w:type="dxa"/>
            <w:vAlign w:val="bottom"/>
            <w:gridSpan w:val="6"/>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shd w:val="clear" w:color="auto" w:fill="EAEAEA"/>
              </w:rPr>
              <w:t>169,854</w:t>
            </w: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60" w:type="dxa"/>
            <w:vAlign w:val="bottom"/>
            <w:gridSpan w:val="2"/>
            <w:shd w:val="clear" w:color="auto" w:fill="EAEAEA"/>
          </w:tcPr>
          <w:p>
            <w:pPr>
              <w:spacing w:after="0"/>
              <w:rPr>
                <w:sz w:val="17"/>
                <w:szCs w:val="17"/>
                <w:color w:val="auto"/>
              </w:rPr>
            </w:pPr>
          </w:p>
        </w:tc>
        <w:tc>
          <w:tcPr>
            <w:tcW w:w="560" w:type="dxa"/>
            <w:vAlign w:val="bottom"/>
            <w:gridSpan w:val="5"/>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148,170</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7840" w:type="dxa"/>
            <w:vAlign w:val="bottom"/>
            <w:gridSpan w:val="9"/>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Pr>
          <w:p>
            <w:pPr>
              <w:spacing w:after="0"/>
              <w:rPr>
                <w:sz w:val="4"/>
                <w:szCs w:val="4"/>
                <w:color w:val="auto"/>
              </w:rPr>
            </w:pPr>
          </w:p>
        </w:tc>
        <w:tc>
          <w:tcPr>
            <w:tcW w:w="520" w:type="dxa"/>
            <w:vAlign w:val="bottom"/>
            <w:vMerge w:val="restart"/>
          </w:tcPr>
          <w:p>
            <w:pPr>
              <w:spacing w:after="0"/>
              <w:rPr>
                <w:sz w:val="4"/>
                <w:szCs w:val="4"/>
                <w:color w:val="auto"/>
              </w:rPr>
            </w:pPr>
          </w:p>
        </w:tc>
        <w:tc>
          <w:tcPr>
            <w:tcW w:w="220" w:type="dxa"/>
            <w:vAlign w:val="bottom"/>
            <w:gridSpan w:val="3"/>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320" w:type="dxa"/>
            <w:vAlign w:val="bottom"/>
            <w:gridSpan w:val="4"/>
            <w:vMerge w:val="restart"/>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840" w:type="dxa"/>
            <w:vAlign w:val="bottom"/>
            <w:tcBorders>
              <w:bottom w:val="single" w:sz="8" w:color="EAEAEA"/>
            </w:tcBorders>
            <w:gridSpan w:val="9"/>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gridSpan w:val="4"/>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4"/>
              </w:rPr>
              <w:t>10,577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gridSpan w:val="4"/>
            <w:vMerge w:val="continue"/>
          </w:tcPr>
          <w:p>
            <w:pPr>
              <w:spacing w:after="0"/>
              <w:rPr>
                <w:sz w:val="13"/>
                <w:szCs w:val="13"/>
                <w:color w:val="auto"/>
              </w:rPr>
            </w:pPr>
          </w:p>
        </w:tc>
        <w:tc>
          <w:tcPr>
            <w:tcW w:w="400" w:type="dxa"/>
            <w:vAlign w:val="bottom"/>
            <w:tcBorders>
              <w:bottom w:val="single" w:sz="8" w:color="auto"/>
            </w:tcBorders>
            <w:gridSpan w:val="3"/>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9"/>
              </w:rPr>
              <w:t>9,587</w:t>
            </w:r>
          </w:p>
        </w:tc>
        <w:tc>
          <w:tcPr>
            <w:tcW w:w="80" w:type="dxa"/>
            <w:vAlign w:val="bottom"/>
            <w:tcBorders>
              <w:bottom w:val="single" w:sz="8" w:color="EAEAEA"/>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shd w:val="clear" w:color="auto" w:fill="EAEAEA"/>
          </w:tcPr>
          <w:p>
            <w:pPr>
              <w:spacing w:after="0"/>
              <w:rPr>
                <w:sz w:val="17"/>
                <w:szCs w:val="17"/>
                <w:color w:val="auto"/>
              </w:rPr>
            </w:pPr>
          </w:p>
        </w:tc>
        <w:tc>
          <w:tcPr>
            <w:tcW w:w="1840" w:type="dxa"/>
            <w:vAlign w:val="bottom"/>
            <w:gridSpan w:val="4"/>
            <w:shd w:val="clear" w:color="auto" w:fill="EAEAEA"/>
          </w:tcPr>
          <w:p>
            <w:pPr>
              <w:spacing w:after="0" w:line="197" w:lineRule="exact"/>
              <w:rPr>
                <w:sz w:val="20"/>
                <w:szCs w:val="20"/>
                <w:color w:val="auto"/>
              </w:rPr>
            </w:pPr>
            <w:r>
              <w:rPr>
                <w:rFonts w:ascii="Times New Roman" w:cs="Times New Roman" w:eastAsia="Times New Roman" w:hAnsi="Times New Roman"/>
                <w:sz w:val="18"/>
                <w:szCs w:val="18"/>
                <w:color w:val="auto"/>
                <w:w w:val="98"/>
                <w:shd w:val="clear" w:color="auto" w:fill="EAEAEA"/>
              </w:rPr>
              <w:t>Total long-term liabilities</w:t>
            </w:r>
          </w:p>
        </w:tc>
        <w:tc>
          <w:tcPr>
            <w:tcW w:w="6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tcBorders>
              <w:bottom w:val="single" w:sz="8" w:color="auto"/>
            </w:tcBorders>
            <w:shd w:val="clear" w:color="auto" w:fill="EAEAEA"/>
          </w:tcPr>
          <w:p>
            <w:pPr>
              <w:spacing w:after="0"/>
              <w:rPr>
                <w:sz w:val="17"/>
                <w:szCs w:val="17"/>
                <w:color w:val="auto"/>
              </w:rPr>
            </w:pPr>
          </w:p>
        </w:tc>
        <w:tc>
          <w:tcPr>
            <w:tcW w:w="520" w:type="dxa"/>
            <w:vAlign w:val="bottom"/>
            <w:tcBorders>
              <w:bottom w:val="single" w:sz="8" w:color="auto"/>
            </w:tcBorders>
            <w:shd w:val="clear" w:color="auto" w:fill="EAEAEA"/>
          </w:tcPr>
          <w:p>
            <w:pPr>
              <w:spacing w:after="0"/>
              <w:rPr>
                <w:sz w:val="17"/>
                <w:szCs w:val="17"/>
                <w:color w:val="auto"/>
              </w:rPr>
            </w:pPr>
          </w:p>
        </w:tc>
        <w:tc>
          <w:tcPr>
            <w:tcW w:w="720" w:type="dxa"/>
            <w:vAlign w:val="bottom"/>
            <w:tcBorders>
              <w:bottom w:val="single" w:sz="8" w:color="auto"/>
            </w:tcBorders>
            <w:gridSpan w:val="7"/>
            <w:shd w:val="clear" w:color="auto" w:fill="EAEAEA"/>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w w:val="94"/>
              </w:rPr>
              <w:t>1,918,728</w:t>
            </w:r>
          </w:p>
        </w:tc>
        <w:tc>
          <w:tcPr>
            <w:tcW w:w="4294967277" w:type="dxa"/>
            <w:vAlign w:val="bottom"/>
            <w:tcBorders>
              <w:bottom w:val="single" w:sz="8" w:color="auto"/>
            </w:tcBorders>
            <w:shd w:val="clear" w:color="auto" w:fill="EAEAEA"/>
          </w:tcPr>
          <w:p>
            <w:pPr>
              <w:spacing w:after="0"/>
              <w:rPr>
                <w:sz w:val="17"/>
                <w:szCs w:val="17"/>
                <w:color w:val="auto"/>
              </w:rPr>
            </w:pPr>
          </w:p>
        </w:tc>
        <w:tc>
          <w:tcPr>
            <w:tcW w:w="20" w:type="dxa"/>
            <w:vAlign w:val="bottom"/>
            <w:tcBorders>
              <w:bottom w:val="single" w:sz="8" w:color="auto"/>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tcBorders>
              <w:bottom w:val="single" w:sz="8" w:color="auto"/>
            </w:tcBorders>
            <w:shd w:val="clear" w:color="auto" w:fill="EAEAEA"/>
          </w:tcPr>
          <w:p>
            <w:pPr>
              <w:spacing w:after="0"/>
              <w:rPr>
                <w:sz w:val="17"/>
                <w:szCs w:val="17"/>
                <w:color w:val="auto"/>
              </w:rPr>
            </w:pPr>
          </w:p>
        </w:tc>
        <w:tc>
          <w:tcPr>
            <w:tcW w:w="120" w:type="dxa"/>
            <w:vAlign w:val="bottom"/>
            <w:tcBorders>
              <w:bottom w:val="single" w:sz="8" w:color="auto"/>
            </w:tcBorders>
            <w:shd w:val="clear" w:color="auto" w:fill="EAEAEA"/>
          </w:tcPr>
          <w:p>
            <w:pPr>
              <w:spacing w:after="0"/>
              <w:rPr>
                <w:sz w:val="17"/>
                <w:szCs w:val="17"/>
                <w:color w:val="auto"/>
              </w:rPr>
            </w:pPr>
          </w:p>
        </w:tc>
        <w:tc>
          <w:tcPr>
            <w:tcW w:w="140" w:type="dxa"/>
            <w:vAlign w:val="bottom"/>
            <w:tcBorders>
              <w:bottom w:val="single" w:sz="8" w:color="auto"/>
            </w:tcBorders>
            <w:shd w:val="clear" w:color="auto" w:fill="EAEAEA"/>
          </w:tcPr>
          <w:p>
            <w:pPr>
              <w:spacing w:after="0"/>
              <w:rPr>
                <w:sz w:val="17"/>
                <w:szCs w:val="17"/>
                <w:color w:val="auto"/>
              </w:rPr>
            </w:pPr>
          </w:p>
        </w:tc>
        <w:tc>
          <w:tcPr>
            <w:tcW w:w="700" w:type="dxa"/>
            <w:vAlign w:val="bottom"/>
            <w:tcBorders>
              <w:bottom w:val="single" w:sz="8" w:color="auto"/>
            </w:tcBorders>
            <w:gridSpan w:val="5"/>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4"/>
              </w:rPr>
              <w:t>1,763,951</w:t>
            </w:r>
          </w:p>
        </w:tc>
        <w:tc>
          <w:tcPr>
            <w:tcW w:w="20" w:type="dxa"/>
            <w:vAlign w:val="bottom"/>
            <w:tcBorders>
              <w:bottom w:val="single" w:sz="8" w:color="auto"/>
            </w:tcBorders>
            <w:gridSpan w:val="2"/>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00" w:type="dxa"/>
            <w:vAlign w:val="bottom"/>
            <w:gridSpan w:val="7"/>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Contingencies and commitments</w:t>
            </w: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294967277"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4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Equity:</w:t>
            </w:r>
          </w:p>
        </w:tc>
        <w:tc>
          <w:tcPr>
            <w:tcW w:w="760" w:type="dxa"/>
            <w:vAlign w:val="bottom"/>
            <w:shd w:val="clear" w:color="auto" w:fill="EAEAEA"/>
          </w:tcPr>
          <w:p>
            <w:pPr>
              <w:spacing w:after="0"/>
              <w:rPr>
                <w:sz w:val="17"/>
                <w:szCs w:val="17"/>
                <w:color w:val="auto"/>
              </w:rPr>
            </w:pPr>
          </w:p>
        </w:tc>
        <w:tc>
          <w:tcPr>
            <w:tcW w:w="300" w:type="dxa"/>
            <w:vAlign w:val="bottom"/>
            <w:gridSpan w:val="2"/>
            <w:shd w:val="clear" w:color="auto" w:fill="EAEAEA"/>
          </w:tcPr>
          <w:p>
            <w:pPr>
              <w:spacing w:after="0"/>
              <w:rPr>
                <w:sz w:val="17"/>
                <w:szCs w:val="17"/>
                <w:color w:val="auto"/>
              </w:rPr>
            </w:pPr>
          </w:p>
        </w:tc>
        <w:tc>
          <w:tcPr>
            <w:tcW w:w="5740" w:type="dxa"/>
            <w:vAlign w:val="bottom"/>
            <w:gridSpan w:val="3"/>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294967277"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4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7440" w:type="dxa"/>
            <w:vAlign w:val="bottom"/>
            <w:gridSpan w:val="7"/>
            <w:shd w:val="clear" w:color="auto" w:fill="EAEAEA"/>
          </w:tcPr>
          <w:p>
            <w:pPr>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Common stock, $0.10 par value per share. Authorized 120,000,000 shares, issued 65,472,000</w:t>
            </w: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220" w:type="dxa"/>
            <w:vAlign w:val="bottom"/>
            <w:gridSpan w:val="3"/>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60" w:type="dxa"/>
            <w:vAlign w:val="bottom"/>
            <w:gridSpan w:val="4"/>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6,547</w:t>
            </w: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20" w:type="dxa"/>
            <w:vAlign w:val="bottom"/>
            <w:gridSpan w:val="4"/>
            <w:shd w:val="clear" w:color="auto" w:fill="EAEAEA"/>
          </w:tcPr>
          <w:p>
            <w:pPr>
              <w:spacing w:after="0"/>
              <w:rPr>
                <w:sz w:val="17"/>
                <w:szCs w:val="17"/>
                <w:color w:val="auto"/>
              </w:rPr>
            </w:pPr>
          </w:p>
        </w:tc>
        <w:tc>
          <w:tcPr>
            <w:tcW w:w="400" w:type="dxa"/>
            <w:vAlign w:val="bottom"/>
            <w:gridSpan w:val="3"/>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3"/>
                <w:shd w:val="clear" w:color="auto" w:fill="EAEAEA"/>
              </w:rPr>
              <w:t>6,547</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764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7"/>
                <w:szCs w:val="17"/>
                <w:color w:val="auto"/>
              </w:rPr>
            </w:pPr>
          </w:p>
        </w:tc>
        <w:tc>
          <w:tcPr>
            <w:tcW w:w="12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873,249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868,763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EAEAEA"/>
          </w:tcPr>
          <w:p>
            <w:pPr>
              <w:spacing w:after="0"/>
              <w:rPr>
                <w:sz w:val="17"/>
                <w:szCs w:val="17"/>
                <w:color w:val="auto"/>
              </w:rPr>
            </w:pPr>
          </w:p>
        </w:tc>
        <w:tc>
          <w:tcPr>
            <w:tcW w:w="7640" w:type="dxa"/>
            <w:vAlign w:val="bottom"/>
            <w:gridSpan w:val="8"/>
            <w:shd w:val="clear" w:color="auto" w:fill="EAEAEA"/>
          </w:tcPr>
          <w:p>
            <w:pPr>
              <w:ind w:left="200"/>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Accumulated other comprehensive income — net</w:t>
            </w:r>
          </w:p>
        </w:tc>
        <w:tc>
          <w:tcPr>
            <w:tcW w:w="8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220" w:type="dxa"/>
            <w:vAlign w:val="bottom"/>
            <w:gridSpan w:val="3"/>
            <w:shd w:val="clear" w:color="auto" w:fill="EAEAEA"/>
          </w:tcPr>
          <w:p>
            <w:pPr>
              <w:spacing w:after="0"/>
              <w:rPr>
                <w:sz w:val="17"/>
                <w:szCs w:val="17"/>
                <w:color w:val="auto"/>
              </w:rPr>
            </w:pPr>
          </w:p>
        </w:tc>
        <w:tc>
          <w:tcPr>
            <w:tcW w:w="480" w:type="dxa"/>
            <w:vAlign w:val="bottom"/>
            <w:gridSpan w:val="5"/>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86,342</w:t>
            </w: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40" w:type="dxa"/>
            <w:vAlign w:val="bottom"/>
            <w:gridSpan w:val="3"/>
            <w:shd w:val="clear" w:color="auto" w:fill="EAEAEA"/>
          </w:tcPr>
          <w:p>
            <w:pPr>
              <w:spacing w:after="0"/>
              <w:rPr>
                <w:sz w:val="17"/>
                <w:szCs w:val="17"/>
                <w:color w:val="auto"/>
              </w:rPr>
            </w:pPr>
          </w:p>
        </w:tc>
        <w:tc>
          <w:tcPr>
            <w:tcW w:w="480" w:type="dxa"/>
            <w:vAlign w:val="bottom"/>
            <w:gridSpan w:val="4"/>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shd w:val="clear" w:color="auto" w:fill="EAEAEA"/>
              </w:rPr>
              <w:t>71,192</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7"/>
                <w:szCs w:val="17"/>
                <w:color w:val="auto"/>
              </w:rPr>
            </w:pPr>
          </w:p>
        </w:tc>
        <w:tc>
          <w:tcPr>
            <w:tcW w:w="764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7"/>
                <w:szCs w:val="17"/>
                <w:color w:val="auto"/>
              </w:rPr>
            </w:pPr>
          </w:p>
        </w:tc>
        <w:tc>
          <w:tcPr>
            <w:tcW w:w="12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3,332,941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2,978,372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7440" w:type="dxa"/>
            <w:vAlign w:val="bottom"/>
            <w:gridSpan w:val="7"/>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Treasury stock — at cost, 11,701,000 shares in 2025 and 8,215,000 shares in 2024</w:t>
            </w:r>
          </w:p>
        </w:tc>
        <w:tc>
          <w:tcPr>
            <w:tcW w:w="80" w:type="dxa"/>
            <w:vAlign w:val="bottom"/>
            <w:tcBorders>
              <w:bottom w:val="single" w:sz="8" w:color="auto"/>
            </w:tcBorders>
            <w:shd w:val="clear" w:color="auto" w:fill="EAEAEA"/>
          </w:tcPr>
          <w:p>
            <w:pPr>
              <w:spacing w:after="0"/>
              <w:rPr>
                <w:sz w:val="17"/>
                <w:szCs w:val="17"/>
                <w:color w:val="auto"/>
              </w:rPr>
            </w:pPr>
          </w:p>
        </w:tc>
        <w:tc>
          <w:tcPr>
            <w:tcW w:w="520" w:type="dxa"/>
            <w:vAlign w:val="bottom"/>
            <w:tcBorders>
              <w:bottom w:val="single" w:sz="8" w:color="auto"/>
            </w:tcBorders>
            <w:shd w:val="clear" w:color="auto" w:fill="EAEAEA"/>
          </w:tcPr>
          <w:p>
            <w:pPr>
              <w:spacing w:after="0"/>
              <w:rPr>
                <w:sz w:val="17"/>
                <w:szCs w:val="17"/>
                <w:color w:val="auto"/>
              </w:rPr>
            </w:pPr>
          </w:p>
        </w:tc>
        <w:tc>
          <w:tcPr>
            <w:tcW w:w="700" w:type="dxa"/>
            <w:vAlign w:val="bottom"/>
            <w:tcBorders>
              <w:bottom w:val="single" w:sz="8" w:color="auto"/>
            </w:tcBorders>
            <w:gridSpan w:val="8"/>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(918,567</w:t>
            </w:r>
          </w:p>
        </w:tc>
        <w:tc>
          <w:tcPr>
            <w:tcW w:w="20" w:type="dxa"/>
            <w:vAlign w:val="bottom"/>
            <w:tcBorders>
              <w:bottom w:val="single" w:sz="8" w:color="auto"/>
            </w:tcBorders>
            <w:shd w:val="clear" w:color="auto" w:fill="EAEAEA"/>
          </w:tcPr>
          <w:p>
            <w:pPr>
              <w:spacing w:after="0"/>
              <w:rPr>
                <w:sz w:val="17"/>
                <w:szCs w:val="17"/>
                <w:color w:val="auto"/>
              </w:rPr>
            </w:pPr>
          </w:p>
        </w:tc>
        <w:tc>
          <w:tcPr>
            <w:tcW w:w="10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w:t>
            </w:r>
          </w:p>
        </w:tc>
        <w:tc>
          <w:tcPr>
            <w:tcW w:w="140" w:type="dxa"/>
            <w:vAlign w:val="bottom"/>
            <w:shd w:val="clear" w:color="auto" w:fill="EAEAEA"/>
          </w:tcPr>
          <w:p>
            <w:pPr>
              <w:spacing w:after="0"/>
              <w:rPr>
                <w:sz w:val="17"/>
                <w:szCs w:val="17"/>
                <w:color w:val="auto"/>
              </w:rPr>
            </w:pPr>
          </w:p>
        </w:tc>
        <w:tc>
          <w:tcPr>
            <w:tcW w:w="340" w:type="dxa"/>
            <w:vAlign w:val="bottom"/>
            <w:tcBorders>
              <w:bottom w:val="single" w:sz="8" w:color="auto"/>
            </w:tcBorders>
            <w:shd w:val="clear" w:color="auto" w:fill="EAEAEA"/>
          </w:tcPr>
          <w:p>
            <w:pPr>
              <w:spacing w:after="0"/>
              <w:rPr>
                <w:sz w:val="17"/>
                <w:szCs w:val="17"/>
                <w:color w:val="auto"/>
              </w:rPr>
            </w:pPr>
          </w:p>
        </w:tc>
        <w:tc>
          <w:tcPr>
            <w:tcW w:w="120" w:type="dxa"/>
            <w:vAlign w:val="bottom"/>
            <w:tcBorders>
              <w:bottom w:val="single" w:sz="8" w:color="auto"/>
            </w:tcBorders>
            <w:shd w:val="clear" w:color="auto" w:fill="EAEAEA"/>
          </w:tcPr>
          <w:p>
            <w:pPr>
              <w:spacing w:after="0"/>
              <w:rPr>
                <w:sz w:val="17"/>
                <w:szCs w:val="17"/>
                <w:color w:val="auto"/>
              </w:rPr>
            </w:pPr>
          </w:p>
        </w:tc>
        <w:tc>
          <w:tcPr>
            <w:tcW w:w="140" w:type="dxa"/>
            <w:vAlign w:val="bottom"/>
            <w:tcBorders>
              <w:bottom w:val="single" w:sz="8" w:color="auto"/>
            </w:tcBorders>
            <w:shd w:val="clear" w:color="auto" w:fill="EAEAEA"/>
          </w:tcPr>
          <w:p>
            <w:pPr>
              <w:spacing w:after="0"/>
              <w:rPr>
                <w:sz w:val="17"/>
                <w:szCs w:val="17"/>
                <w:color w:val="auto"/>
              </w:rPr>
            </w:pPr>
          </w:p>
        </w:tc>
        <w:tc>
          <w:tcPr>
            <w:tcW w:w="700" w:type="dxa"/>
            <w:vAlign w:val="bottom"/>
            <w:tcBorders>
              <w:bottom w:val="single" w:sz="8" w:color="auto"/>
            </w:tcBorders>
            <w:gridSpan w:val="5"/>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(573,061</w:t>
            </w:r>
          </w:p>
        </w:tc>
        <w:tc>
          <w:tcPr>
            <w:tcW w:w="20" w:type="dxa"/>
            <w:vAlign w:val="bottom"/>
            <w:tcBorders>
              <w:bottom w:val="single" w:sz="8" w:color="auto"/>
            </w:tcBorders>
            <w:gridSpan w:val="2"/>
            <w:shd w:val="clear" w:color="auto" w:fill="EAEAEA"/>
          </w:tcPr>
          <w:p>
            <w:pPr>
              <w:spacing w:after="0"/>
              <w:rPr>
                <w:sz w:val="17"/>
                <w:szCs w:val="17"/>
                <w:color w:val="auto"/>
              </w:rPr>
            </w:pPr>
          </w:p>
        </w:tc>
        <w:tc>
          <w:tcPr>
            <w:tcW w:w="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0" w:type="dxa"/>
            <w:vAlign w:val="bottom"/>
          </w:tcPr>
          <w:p>
            <w:pPr>
              <w:spacing w:after="0"/>
              <w:rPr>
                <w:sz w:val="1"/>
                <w:szCs w:val="1"/>
                <w:color w:val="auto"/>
              </w:rPr>
            </w:pPr>
          </w:p>
        </w:tc>
      </w:tr>
      <w:tr>
        <w:trPr>
          <w:trHeight w:val="202"/>
        </w:trPr>
        <w:tc>
          <w:tcPr>
            <w:tcW w:w="784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auto"/>
              </w:rPr>
              <w:t>Total Kirby stockholders’ equity</w:t>
            </w:r>
          </w:p>
        </w:tc>
        <w:tc>
          <w:tcPr>
            <w:tcW w:w="80" w:type="dxa"/>
            <w:vAlign w:val="bottom"/>
          </w:tcPr>
          <w:p>
            <w:pPr>
              <w:spacing w:after="0"/>
              <w:rPr>
                <w:sz w:val="17"/>
                <w:szCs w:val="17"/>
                <w:color w:val="auto"/>
              </w:rPr>
            </w:pPr>
          </w:p>
        </w:tc>
        <w:tc>
          <w:tcPr>
            <w:tcW w:w="1220" w:type="dxa"/>
            <w:vAlign w:val="bottom"/>
            <w:gridSpan w:val="9"/>
          </w:tcPr>
          <w:p>
            <w:pPr>
              <w:jc w:val="right"/>
              <w:spacing w:after="0" w:line="202" w:lineRule="exact"/>
              <w:rPr>
                <w:sz w:val="20"/>
                <w:szCs w:val="20"/>
                <w:color w:val="auto"/>
              </w:rPr>
            </w:pPr>
            <w:r>
              <w:rPr>
                <w:rFonts w:ascii="Times New Roman" w:cs="Times New Roman" w:eastAsia="Times New Roman" w:hAnsi="Times New Roman"/>
                <w:sz w:val="18"/>
                <w:szCs w:val="18"/>
                <w:color w:val="auto"/>
              </w:rPr>
              <w:t>3,380,512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8"/>
          </w:tcPr>
          <w:p>
            <w:pPr>
              <w:jc w:val="right"/>
              <w:spacing w:after="0" w:line="202" w:lineRule="exact"/>
              <w:rPr>
                <w:sz w:val="20"/>
                <w:szCs w:val="20"/>
                <w:color w:val="auto"/>
              </w:rPr>
            </w:pPr>
            <w:r>
              <w:rPr>
                <w:rFonts w:ascii="Times New Roman" w:cs="Times New Roman" w:eastAsia="Times New Roman" w:hAnsi="Times New Roman"/>
                <w:sz w:val="18"/>
                <w:szCs w:val="18"/>
                <w:color w:val="auto"/>
              </w:rPr>
              <w:t>3,351,813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0" w:type="dxa"/>
            <w:vAlign w:val="bottom"/>
            <w:gridSpan w:val="4"/>
            <w:shd w:val="clear" w:color="auto" w:fill="EAEAEA"/>
          </w:tcPr>
          <w:p>
            <w:pPr>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Noncontrolling interests</w:t>
            </w:r>
          </w:p>
        </w:tc>
        <w:tc>
          <w:tcPr>
            <w:tcW w:w="2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400" w:type="dxa"/>
            <w:vAlign w:val="bottom"/>
            <w:shd w:val="clear" w:color="auto" w:fill="EAEAEA"/>
          </w:tcPr>
          <w:p>
            <w:pPr>
              <w:spacing w:after="0"/>
              <w:rPr>
                <w:sz w:val="17"/>
                <w:szCs w:val="17"/>
                <w:color w:val="auto"/>
              </w:rPr>
            </w:pPr>
          </w:p>
        </w:tc>
        <w:tc>
          <w:tcPr>
            <w:tcW w:w="4340" w:type="dxa"/>
            <w:vAlign w:val="bottom"/>
            <w:shd w:val="clear" w:color="auto" w:fill="EAEAEA"/>
          </w:tcPr>
          <w:p>
            <w:pPr>
              <w:spacing w:after="0"/>
              <w:rPr>
                <w:sz w:val="17"/>
                <w:szCs w:val="17"/>
                <w:color w:val="auto"/>
              </w:rPr>
            </w:pPr>
          </w:p>
        </w:tc>
        <w:tc>
          <w:tcPr>
            <w:tcW w:w="80" w:type="dxa"/>
            <w:vAlign w:val="bottom"/>
            <w:tcBorders>
              <w:bottom w:val="single" w:sz="8" w:color="auto"/>
            </w:tcBorders>
            <w:shd w:val="clear" w:color="auto" w:fill="EAEAEA"/>
          </w:tcPr>
          <w:p>
            <w:pPr>
              <w:spacing w:after="0"/>
              <w:rPr>
                <w:sz w:val="17"/>
                <w:szCs w:val="17"/>
                <w:color w:val="auto"/>
              </w:rPr>
            </w:pPr>
          </w:p>
        </w:tc>
        <w:tc>
          <w:tcPr>
            <w:tcW w:w="520" w:type="dxa"/>
            <w:vAlign w:val="bottom"/>
            <w:tcBorders>
              <w:bottom w:val="single" w:sz="8" w:color="auto"/>
            </w:tcBorders>
            <w:shd w:val="clear" w:color="auto" w:fill="EAEAEA"/>
          </w:tcPr>
          <w:p>
            <w:pPr>
              <w:spacing w:after="0"/>
              <w:rPr>
                <w:sz w:val="17"/>
                <w:szCs w:val="17"/>
                <w:color w:val="auto"/>
              </w:rPr>
            </w:pPr>
          </w:p>
        </w:tc>
        <w:tc>
          <w:tcPr>
            <w:tcW w:w="240" w:type="dxa"/>
            <w:vAlign w:val="bottom"/>
            <w:tcBorders>
              <w:bottom w:val="single" w:sz="8" w:color="auto"/>
            </w:tcBorders>
            <w:gridSpan w:val="4"/>
            <w:shd w:val="clear" w:color="auto" w:fill="EAEAEA"/>
          </w:tcPr>
          <w:p>
            <w:pPr>
              <w:spacing w:after="0"/>
              <w:rPr>
                <w:sz w:val="17"/>
                <w:szCs w:val="17"/>
                <w:color w:val="auto"/>
              </w:rPr>
            </w:pPr>
          </w:p>
        </w:tc>
        <w:tc>
          <w:tcPr>
            <w:tcW w:w="460" w:type="dxa"/>
            <w:vAlign w:val="bottom"/>
            <w:tcBorders>
              <w:bottom w:val="single" w:sz="8" w:color="auto"/>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EAEAEA"/>
              </w:rPr>
              <w:t>2,281</w:t>
            </w:r>
          </w:p>
        </w:tc>
        <w:tc>
          <w:tcPr>
            <w:tcW w:w="20" w:type="dxa"/>
            <w:vAlign w:val="bottom"/>
            <w:tcBorders>
              <w:bottom w:val="single" w:sz="8" w:color="auto"/>
            </w:tcBorders>
            <w:gridSpan w:val="3"/>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340" w:type="dxa"/>
            <w:vAlign w:val="bottom"/>
            <w:tcBorders>
              <w:bottom w:val="single" w:sz="8" w:color="auto"/>
            </w:tcBorders>
            <w:shd w:val="clear" w:color="auto" w:fill="EAEAEA"/>
          </w:tcPr>
          <w:p>
            <w:pPr>
              <w:spacing w:after="0"/>
              <w:rPr>
                <w:sz w:val="17"/>
                <w:szCs w:val="17"/>
                <w:color w:val="auto"/>
              </w:rPr>
            </w:pPr>
          </w:p>
        </w:tc>
        <w:tc>
          <w:tcPr>
            <w:tcW w:w="120" w:type="dxa"/>
            <w:vAlign w:val="bottom"/>
            <w:tcBorders>
              <w:bottom w:val="single" w:sz="8" w:color="auto"/>
            </w:tcBorders>
            <w:shd w:val="clear" w:color="auto" w:fill="EAEAEA"/>
          </w:tcPr>
          <w:p>
            <w:pPr>
              <w:spacing w:after="0"/>
              <w:rPr>
                <w:sz w:val="17"/>
                <w:szCs w:val="17"/>
                <w:color w:val="auto"/>
              </w:rPr>
            </w:pPr>
          </w:p>
        </w:tc>
        <w:tc>
          <w:tcPr>
            <w:tcW w:w="140" w:type="dxa"/>
            <w:vAlign w:val="bottom"/>
            <w:tcBorders>
              <w:bottom w:val="single" w:sz="8" w:color="auto"/>
            </w:tcBorders>
            <w:shd w:val="clear" w:color="auto" w:fill="EAEAEA"/>
          </w:tcPr>
          <w:p>
            <w:pPr>
              <w:spacing w:after="0"/>
              <w:rPr>
                <w:sz w:val="17"/>
                <w:szCs w:val="17"/>
                <w:color w:val="auto"/>
              </w:rPr>
            </w:pPr>
          </w:p>
        </w:tc>
        <w:tc>
          <w:tcPr>
            <w:tcW w:w="320" w:type="dxa"/>
            <w:vAlign w:val="bottom"/>
            <w:tcBorders>
              <w:bottom w:val="single" w:sz="8" w:color="auto"/>
            </w:tcBorders>
            <w:gridSpan w:val="4"/>
            <w:shd w:val="clear" w:color="auto" w:fill="EAEAEA"/>
          </w:tcPr>
          <w:p>
            <w:pPr>
              <w:spacing w:after="0"/>
              <w:rPr>
                <w:sz w:val="17"/>
                <w:szCs w:val="17"/>
                <w:color w:val="auto"/>
              </w:rPr>
            </w:pPr>
          </w:p>
        </w:tc>
        <w:tc>
          <w:tcPr>
            <w:tcW w:w="400" w:type="dxa"/>
            <w:vAlign w:val="bottom"/>
            <w:tcBorders>
              <w:bottom w:val="single" w:sz="8" w:color="auto"/>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18"/>
                <w:szCs w:val="18"/>
                <w:color w:val="auto"/>
                <w:w w:val="93"/>
              </w:rPr>
              <w:t>1,435</w:t>
            </w:r>
          </w:p>
        </w:tc>
        <w:tc>
          <w:tcPr>
            <w:tcW w:w="0" w:type="dxa"/>
            <w:vAlign w:val="bottom"/>
            <w:tcBorders>
              <w:bottom w:val="single" w:sz="8" w:color="auto"/>
            </w:tcBorders>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840" w:type="dxa"/>
            <w:vAlign w:val="bottom"/>
            <w:gridSpan w:val="9"/>
            <w:vMerge w:val="restart"/>
          </w:tcPr>
          <w:p>
            <w:pPr>
              <w:ind w:left="200"/>
              <w:spacing w:after="0" w:line="193" w:lineRule="exact"/>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Pr>
          <w:p>
            <w:pPr>
              <w:spacing w:after="0"/>
              <w:rPr>
                <w:sz w:val="3"/>
                <w:szCs w:val="3"/>
                <w:color w:val="auto"/>
              </w:rPr>
            </w:pPr>
          </w:p>
        </w:tc>
        <w:tc>
          <w:tcPr>
            <w:tcW w:w="520" w:type="dxa"/>
            <w:vAlign w:val="bottom"/>
            <w:vMerge w:val="restart"/>
          </w:tcPr>
          <w:p>
            <w:pPr>
              <w:spacing w:after="0"/>
              <w:rPr>
                <w:sz w:val="3"/>
                <w:szCs w:val="3"/>
                <w:color w:val="auto"/>
              </w:rPr>
            </w:pPr>
          </w:p>
        </w:tc>
        <w:tc>
          <w:tcPr>
            <w:tcW w:w="700" w:type="dxa"/>
            <w:vAlign w:val="bottom"/>
            <w:gridSpan w:val="6"/>
          </w:tcPr>
          <w:p>
            <w:pPr>
              <w:spacing w:after="0"/>
              <w:rPr>
                <w:sz w:val="3"/>
                <w:szCs w:val="3"/>
                <w:color w:val="auto"/>
              </w:rPr>
            </w:pPr>
          </w:p>
        </w:tc>
        <w:tc>
          <w:tcPr>
            <w:tcW w:w="20" w:type="dxa"/>
            <w:vAlign w:val="bottom"/>
            <w:gridSpan w:val="3"/>
            <w:vMerge w:val="restart"/>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720" w:type="dxa"/>
            <w:vAlign w:val="bottom"/>
            <w:gridSpan w:val="6"/>
          </w:tcPr>
          <w:p>
            <w:pPr>
              <w:spacing w:after="0"/>
              <w:rPr>
                <w:sz w:val="3"/>
                <w:szCs w:val="3"/>
                <w:color w:val="auto"/>
              </w:rPr>
            </w:pPr>
          </w:p>
        </w:tc>
        <w:tc>
          <w:tcPr>
            <w:tcW w:w="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840" w:type="dxa"/>
            <w:vAlign w:val="bottom"/>
            <w:tcBorders>
              <w:bottom w:val="single" w:sz="8" w:color="EAEAEA"/>
            </w:tcBorders>
            <w:gridSpan w:val="9"/>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gridSpan w:val="6"/>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9"/>
              </w:rPr>
              <w:t>3,382,793</w:t>
            </w:r>
          </w:p>
        </w:tc>
        <w:tc>
          <w:tcPr>
            <w:tcW w:w="20" w:type="dxa"/>
            <w:vAlign w:val="bottom"/>
            <w:tcBorders>
              <w:bottom w:val="single" w:sz="8" w:color="auto"/>
            </w:tcBorders>
            <w:gridSpan w:val="3"/>
            <w:vMerge w:val="continue"/>
          </w:tcPr>
          <w:p>
            <w:pPr>
              <w:spacing w:after="0"/>
              <w:rPr>
                <w:sz w:val="13"/>
                <w:szCs w:val="13"/>
                <w:color w:val="auto"/>
              </w:rPr>
            </w:pPr>
          </w:p>
        </w:tc>
        <w:tc>
          <w:tcPr>
            <w:tcW w:w="10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gridSpan w:val="6"/>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rPr>
              <w:t>3,353,248</w:t>
            </w:r>
          </w:p>
        </w:tc>
        <w:tc>
          <w:tcPr>
            <w:tcW w:w="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EAEAEA"/>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0" w:type="dxa"/>
            <w:vAlign w:val="bottom"/>
            <w:tcBorders>
              <w:bottom w:val="single" w:sz="8" w:color="EAEAEA"/>
            </w:tcBorders>
            <w:shd w:val="clear" w:color="auto" w:fill="EAEAEA"/>
          </w:tcPr>
          <w:p>
            <w:pPr>
              <w:spacing w:after="0"/>
              <w:rPr>
                <w:sz w:val="17"/>
                <w:szCs w:val="17"/>
                <w:color w:val="auto"/>
              </w:rPr>
            </w:pPr>
          </w:p>
        </w:tc>
        <w:tc>
          <w:tcPr>
            <w:tcW w:w="1900" w:type="dxa"/>
            <w:vAlign w:val="bottom"/>
            <w:tcBorders>
              <w:bottom w:val="single" w:sz="8" w:color="EAEAEA"/>
            </w:tcBorders>
            <w:gridSpan w:val="5"/>
            <w:shd w:val="clear" w:color="auto" w:fill="EAEAEA"/>
          </w:tcPr>
          <w:p>
            <w:pPr>
              <w:spacing w:after="0" w:line="182" w:lineRule="exact"/>
              <w:rPr>
                <w:sz w:val="20"/>
                <w:szCs w:val="20"/>
                <w:color w:val="auto"/>
              </w:rPr>
            </w:pPr>
            <w:r>
              <w:rPr>
                <w:rFonts w:ascii="Times New Roman" w:cs="Times New Roman" w:eastAsia="Times New Roman" w:hAnsi="Times New Roman"/>
                <w:sz w:val="18"/>
                <w:szCs w:val="18"/>
                <w:color w:val="auto"/>
                <w:w w:val="99"/>
                <w:shd w:val="clear" w:color="auto" w:fill="EAEAEA"/>
              </w:rPr>
              <w:t>Total liabilities and equity</w:t>
            </w:r>
          </w:p>
        </w:tc>
        <w:tc>
          <w:tcPr>
            <w:tcW w:w="100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43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20" w:type="dxa"/>
            <w:vAlign w:val="bottom"/>
            <w:tcBorders>
              <w:bottom w:val="single" w:sz="8" w:color="EAEAEA"/>
            </w:tcBorders>
            <w:shd w:val="clear" w:color="auto" w:fill="EAEAEA"/>
          </w:tcPr>
          <w:p>
            <w:pPr>
              <w:spacing w:after="0"/>
              <w:rPr>
                <w:sz w:val="17"/>
                <w:szCs w:val="17"/>
                <w:color w:val="auto"/>
              </w:rPr>
            </w:pPr>
          </w:p>
        </w:tc>
        <w:tc>
          <w:tcPr>
            <w:tcW w:w="720" w:type="dxa"/>
            <w:vAlign w:val="bottom"/>
            <w:tcBorders>
              <w:bottom w:val="single" w:sz="8" w:color="EAEAEA"/>
            </w:tcBorders>
            <w:gridSpan w:val="7"/>
            <w:shd w:val="clear" w:color="auto" w:fill="EAEAEA"/>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w w:val="94"/>
                <w:shd w:val="clear" w:color="auto" w:fill="EAEAEA"/>
              </w:rPr>
              <w:t>6,008,045</w:t>
            </w:r>
          </w:p>
        </w:tc>
        <w:tc>
          <w:tcPr>
            <w:tcW w:w="4294967277"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jc w:val="right"/>
              <w:ind w:right="175"/>
              <w:spacing w:after="0" w:line="181"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720" w:type="dxa"/>
            <w:vAlign w:val="bottom"/>
            <w:tcBorders>
              <w:bottom w:val="single" w:sz="8" w:color="EAEAEA"/>
            </w:tcBorders>
            <w:gridSpan w:val="7"/>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shd w:val="clear" w:color="auto" w:fill="EAEAEA"/>
              </w:rPr>
              <w:t>5,851,952</w:t>
            </w:r>
          </w:p>
        </w:tc>
        <w:tc>
          <w:tcPr>
            <w:tcW w:w="8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94967277"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-7117715</wp:posOffset>
            </wp:positionV>
            <wp:extent cx="1859280"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4">
                      <a:extLst>
                        <a:ext uri="{28A0092B-C50C-407E-A947-70E740481C1C}"/>
                      </a:extLst>
                    </a:blip>
                    <a:srcRect/>
                    <a:stretch>
                      <a:fillRect/>
                    </a:stretch>
                  </pic:blipFill>
                  <pic:spPr bwMode="auto">
                    <a:xfrm>
                      <a:off x="0" y="0"/>
                      <a:ext cx="1859280"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800"/>
          </w:cols>
          <w:pgMar w:left="720" w:top="926" w:right="720" w:bottom="199" w:gutter="0" w:footer="0" w:header="0"/>
        </w:sectPr>
      </w:pP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ectPr>
          <w:pgSz w:w="12240" w:h="15840" w:orient="portrait"/>
          <w:cols w:equalWidth="0" w:num="1">
            <w:col w:w="10800"/>
          </w:cols>
          <w:pgMar w:left="720" w:top="926" w:right="720" w:bottom="199"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KIRBY CORPORATION AND CONSOLIDATED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9"/>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 in thousands, except per share amounts)</w:t>
            </w:r>
          </w:p>
        </w:tc>
        <w:tc>
          <w:tcPr>
            <w:tcW w:w="0" w:type="dxa"/>
            <w:vAlign w:val="bottom"/>
          </w:tcPr>
          <w:p>
            <w:pPr>
              <w:spacing w:after="0"/>
              <w:rPr>
                <w:sz w:val="1"/>
                <w:szCs w:val="1"/>
                <w:color w:val="auto"/>
              </w:rPr>
            </w:pPr>
          </w:p>
        </w:tc>
      </w:tr>
      <w:tr>
        <w:trPr>
          <w:trHeight w:val="224"/>
        </w:trPr>
        <w:tc>
          <w:tcPr>
            <w:tcW w:w="6300" w:type="dxa"/>
            <w:vAlign w:val="bottom"/>
            <w:tcBorders>
              <w:bottom w:val="single" w:sz="8" w:color="EAEAEA"/>
            </w:tcBorders>
            <w:gridSpan w:val="2"/>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Revenues:</w:t>
            </w:r>
          </w:p>
        </w:tc>
        <w:tc>
          <w:tcPr>
            <w:tcW w:w="80" w:type="dxa"/>
            <w:vAlign w:val="bottom"/>
            <w:tcBorders>
              <w:bottom w:val="single" w:sz="8" w:color="EAEAEA"/>
            </w:tcBorders>
            <w:shd w:val="clear" w:color="auto" w:fill="EAEAEA"/>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Marine transportation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1,935,305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1,913,050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1,721,937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EAEAEA"/>
            </w:tcBorders>
            <w:shd w:val="clear" w:color="auto" w:fill="EAEAEA"/>
          </w:tcPr>
          <w:p>
            <w:pPr>
              <w:spacing w:after="0"/>
              <w:rPr>
                <w:sz w:val="21"/>
                <w:szCs w:val="21"/>
                <w:color w:val="auto"/>
              </w:rPr>
            </w:pPr>
          </w:p>
        </w:tc>
        <w:tc>
          <w:tcPr>
            <w:tcW w:w="6100" w:type="dxa"/>
            <w:vAlign w:val="bottom"/>
            <w:tcBorders>
              <w:bottom w:val="single" w:sz="8" w:color="EAEAEA"/>
            </w:tcBorders>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Distribution and services</w:t>
            </w:r>
          </w:p>
        </w:tc>
        <w:tc>
          <w:tcPr>
            <w:tcW w:w="80" w:type="dxa"/>
            <w:vAlign w:val="bottom"/>
            <w:tcBorders>
              <w:bottom w:val="single" w:sz="8" w:color="EAEAEA"/>
            </w:tcBorders>
            <w:shd w:val="clear" w:color="auto" w:fill="EAEAEA"/>
          </w:tcPr>
          <w:p>
            <w:pPr>
              <w:spacing w:after="0"/>
              <w:rPr>
                <w:sz w:val="21"/>
                <w:szCs w:val="21"/>
                <w:color w:val="auto"/>
              </w:rPr>
            </w:pPr>
          </w:p>
        </w:tc>
        <w:tc>
          <w:tcPr>
            <w:tcW w:w="40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gridSpan w:val="5"/>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4"/>
              </w:rPr>
              <w:t>1,428,745</w:t>
            </w: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28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820" w:type="dxa"/>
            <w:vAlign w:val="bottom"/>
            <w:tcBorders>
              <w:bottom w:val="single" w:sz="8" w:color="EAEAEA"/>
            </w:tcBorders>
            <w:gridSpan w:val="6"/>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7"/>
              </w:rPr>
              <w:t>1,352,826</w:t>
            </w:r>
          </w:p>
        </w:tc>
        <w:tc>
          <w:tcPr>
            <w:tcW w:w="6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40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gridSpan w:val="4"/>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4"/>
              </w:rPr>
              <w:t>1,369,703</w:t>
            </w: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6100" w:type="dxa"/>
            <w:vAlign w:val="bottom"/>
            <w:vMerge w:val="restart"/>
          </w:tcPr>
          <w:p>
            <w:pPr>
              <w:ind w:left="200"/>
              <w:spacing w:after="0" w:line="229" w:lineRule="exact"/>
              <w:rPr>
                <w:sz w:val="20"/>
                <w:szCs w:val="20"/>
                <w:color w:val="auto"/>
              </w:rPr>
            </w:pPr>
            <w:r>
              <w:rPr>
                <w:rFonts w:ascii="Times New Roman" w:cs="Times New Roman" w:eastAsia="Times New Roman" w:hAnsi="Times New Roman"/>
                <w:sz w:val="20"/>
                <w:szCs w:val="20"/>
                <w:color w:val="auto"/>
              </w:rPr>
              <w:t>Total revenues</w:t>
            </w: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vMerge w:val="restart"/>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vMerge w:val="restart"/>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vMerge w:val="restart"/>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gridSpan w:val="6"/>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rPr>
              <w:t>3,364,050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20" w:type="dxa"/>
            <w:vAlign w:val="bottom"/>
            <w:gridSpan w:val="6"/>
          </w:tcPr>
          <w:p>
            <w:pPr>
              <w:jc w:val="right"/>
              <w:ind w:right="20"/>
              <w:spacing w:after="0" w:line="168" w:lineRule="exact"/>
              <w:rPr>
                <w:sz w:val="20"/>
                <w:szCs w:val="20"/>
                <w:color w:val="auto"/>
              </w:rPr>
            </w:pPr>
            <w:r>
              <w:rPr>
                <w:rFonts w:ascii="Times New Roman" w:cs="Times New Roman" w:eastAsia="Times New Roman" w:hAnsi="Times New Roman"/>
                <w:sz w:val="19"/>
                <w:szCs w:val="19"/>
                <w:color w:val="auto"/>
                <w:highlight w:val="white"/>
              </w:rPr>
              <w:t>3,265,876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20" w:type="dxa"/>
            <w:vAlign w:val="bottom"/>
            <w:gridSpan w:val="6"/>
          </w:tcPr>
          <w:p>
            <w:pPr>
              <w:jc w:val="right"/>
              <w:ind w:right="20"/>
              <w:spacing w:after="0" w:line="168" w:lineRule="exact"/>
              <w:rPr>
                <w:sz w:val="20"/>
                <w:szCs w:val="20"/>
                <w:color w:val="auto"/>
              </w:rPr>
            </w:pPr>
            <w:r>
              <w:rPr>
                <w:rFonts w:ascii="Times New Roman" w:cs="Times New Roman" w:eastAsia="Times New Roman" w:hAnsi="Times New Roman"/>
                <w:sz w:val="19"/>
                <w:szCs w:val="19"/>
                <w:color w:val="auto"/>
                <w:highlight w:val="white"/>
              </w:rPr>
              <w:t>3,091,640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610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EAEAEA"/>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0" w:type="dxa"/>
            <w:vAlign w:val="bottom"/>
            <w:shd w:val="clear" w:color="auto" w:fill="EAEAEA"/>
          </w:tcPr>
          <w:p>
            <w:pPr>
              <w:spacing w:after="0"/>
              <w:rPr>
                <w:sz w:val="19"/>
                <w:szCs w:val="19"/>
                <w:color w:val="auto"/>
              </w:rPr>
            </w:pPr>
          </w:p>
        </w:tc>
        <w:tc>
          <w:tcPr>
            <w:tcW w:w="6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0" w:type="dxa"/>
            <w:vAlign w:val="bottom"/>
            <w:shd w:val="clear" w:color="auto" w:fill="EAEAEA"/>
          </w:tcPr>
          <w:p>
            <w:pPr>
              <w:spacing w:after="0"/>
              <w:rPr>
                <w:sz w:val="21"/>
                <w:szCs w:val="21"/>
                <w:color w:val="auto"/>
              </w:rPr>
            </w:pPr>
          </w:p>
        </w:tc>
        <w:tc>
          <w:tcPr>
            <w:tcW w:w="61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Costs of sales and operating expenses</w:t>
            </w:r>
          </w:p>
        </w:tc>
        <w:tc>
          <w:tcPr>
            <w:tcW w:w="80" w:type="dxa"/>
            <w:vAlign w:val="bottom"/>
            <w:shd w:val="clear" w:color="auto" w:fill="EAEAEA"/>
          </w:tcPr>
          <w:p>
            <w:pPr>
              <w:spacing w:after="0"/>
              <w:rPr>
                <w:sz w:val="21"/>
                <w:szCs w:val="21"/>
                <w:color w:val="auto"/>
              </w:rPr>
            </w:pPr>
          </w:p>
        </w:tc>
        <w:tc>
          <w:tcPr>
            <w:tcW w:w="1180" w:type="dxa"/>
            <w:vAlign w:val="bottom"/>
            <w:gridSpan w:val="6"/>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2,216,501</w:t>
            </w: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20" w:type="dxa"/>
            <w:vAlign w:val="bottom"/>
            <w:gridSpan w:val="7"/>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EAEAEA"/>
              </w:rPr>
              <w:t>2,200,354</w:t>
            </w:r>
          </w:p>
        </w:tc>
        <w:tc>
          <w:tcPr>
            <w:tcW w:w="6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200" w:type="dxa"/>
            <w:vAlign w:val="bottom"/>
            <w:gridSpan w:val="6"/>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2,180,422</w:t>
            </w: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80" w:type="dxa"/>
            <w:vAlign w:val="bottom"/>
          </w:tcPr>
          <w:p>
            <w:pPr>
              <w:spacing w:after="0"/>
              <w:rPr>
                <w:sz w:val="21"/>
                <w:szCs w:val="21"/>
                <w:color w:val="auto"/>
              </w:rPr>
            </w:pP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356,305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337,097</w:t>
            </w:r>
          </w:p>
        </w:tc>
        <w:tc>
          <w:tcPr>
            <w:tcW w:w="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335,213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0" w:type="dxa"/>
            <w:vAlign w:val="bottom"/>
            <w:shd w:val="clear" w:color="auto" w:fill="EAEAEA"/>
          </w:tcPr>
          <w:p>
            <w:pPr>
              <w:spacing w:after="0"/>
              <w:rPr>
                <w:sz w:val="21"/>
                <w:szCs w:val="21"/>
                <w:color w:val="auto"/>
              </w:rPr>
            </w:pPr>
          </w:p>
        </w:tc>
        <w:tc>
          <w:tcPr>
            <w:tcW w:w="61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Taxes, other than on income</w:t>
            </w:r>
          </w:p>
        </w:tc>
        <w:tc>
          <w:tcPr>
            <w:tcW w:w="80" w:type="dxa"/>
            <w:vAlign w:val="bottom"/>
            <w:shd w:val="clear" w:color="auto" w:fill="EAEAEA"/>
          </w:tcPr>
          <w:p>
            <w:pPr>
              <w:spacing w:after="0"/>
              <w:rPr>
                <w:sz w:val="21"/>
                <w:szCs w:val="21"/>
                <w:color w:val="auto"/>
              </w:rPr>
            </w:pPr>
          </w:p>
        </w:tc>
        <w:tc>
          <w:tcPr>
            <w:tcW w:w="500" w:type="dxa"/>
            <w:vAlign w:val="bottom"/>
            <w:gridSpan w:val="2"/>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0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35,622</w:t>
            </w: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620" w:type="dxa"/>
            <w:vAlign w:val="bottom"/>
            <w:gridSpan w:val="5"/>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EAEAEA"/>
              </w:rPr>
              <w:t>34,910</w:t>
            </w:r>
          </w:p>
        </w:tc>
        <w:tc>
          <w:tcPr>
            <w:tcW w:w="6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4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60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34,766</w:t>
            </w: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80" w:type="dxa"/>
            <w:vAlign w:val="bottom"/>
          </w:tcPr>
          <w:p>
            <w:pPr>
              <w:spacing w:after="0"/>
              <w:rPr>
                <w:sz w:val="21"/>
                <w:szCs w:val="21"/>
                <w:color w:val="auto"/>
              </w:rPr>
            </w:pP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264,126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240,322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211,156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0" w:type="dxa"/>
            <w:vAlign w:val="bottom"/>
            <w:shd w:val="clear" w:color="auto" w:fill="EAEAEA"/>
          </w:tcPr>
          <w:p>
            <w:pPr>
              <w:spacing w:after="0"/>
              <w:rPr>
                <w:sz w:val="21"/>
                <w:szCs w:val="21"/>
                <w:color w:val="auto"/>
              </w:rPr>
            </w:pPr>
          </w:p>
        </w:tc>
        <w:tc>
          <w:tcPr>
            <w:tcW w:w="61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Impairments</w:t>
            </w:r>
          </w:p>
        </w:tc>
        <w:tc>
          <w:tcPr>
            <w:tcW w:w="80" w:type="dxa"/>
            <w:vAlign w:val="bottom"/>
            <w:shd w:val="clear" w:color="auto" w:fill="EAEAEA"/>
          </w:tcPr>
          <w:p>
            <w:pPr>
              <w:spacing w:after="0"/>
              <w:rPr>
                <w:sz w:val="21"/>
                <w:szCs w:val="21"/>
                <w:color w:val="auto"/>
              </w:rPr>
            </w:pPr>
          </w:p>
        </w:tc>
        <w:tc>
          <w:tcPr>
            <w:tcW w:w="4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60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56,303</w:t>
            </w:r>
          </w:p>
        </w:tc>
        <w:tc>
          <w:tcPr>
            <w:tcW w:w="20" w:type="dxa"/>
            <w:vAlign w:val="bottom"/>
            <w:shd w:val="clear" w:color="auto" w:fill="EAEAEA"/>
          </w:tcPr>
          <w:p>
            <w:pPr>
              <w:spacing w:after="0"/>
              <w:rPr>
                <w:sz w:val="21"/>
                <w:szCs w:val="21"/>
                <w:color w:val="auto"/>
              </w:rPr>
            </w:pPr>
          </w:p>
        </w:tc>
        <w:tc>
          <w:tcPr>
            <w:tcW w:w="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4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6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Gain on disposition of assets</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8"/>
              </w:rPr>
              <w:t>(4,788</w:t>
            </w: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(2,207</w:t>
            </w:r>
          </w:p>
        </w:tc>
        <w:tc>
          <w:tcPr>
            <w:tcW w:w="20" w:type="dxa"/>
            <w:vAlign w:val="bottom"/>
            <w:vMerge w:val="continue"/>
          </w:tcPr>
          <w:p>
            <w:pPr>
              <w:spacing w:after="0"/>
              <w:rPr>
                <w:sz w:val="15"/>
                <w:szCs w:val="15"/>
                <w:color w:val="auto"/>
              </w:rPr>
            </w:pPr>
          </w:p>
        </w:tc>
        <w:tc>
          <w:tcPr>
            <w:tcW w:w="0" w:type="dxa"/>
            <w:vAlign w:val="bottom"/>
            <w:vMerge w:val="continue"/>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(5,009</w:t>
            </w:r>
          </w:p>
        </w:tc>
        <w:tc>
          <w:tcPr>
            <w:tcW w:w="40" w:type="dxa"/>
            <w:vAlign w:val="bottom"/>
            <w:gridSpan w:val="2"/>
            <w:vMerge w:val="continue"/>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0" w:type="dxa"/>
            <w:vAlign w:val="bottom"/>
            <w:tcBorders>
              <w:top w:val="single" w:sz="8" w:color="EAEAEA"/>
            </w:tcBorders>
            <w:shd w:val="clear" w:color="auto" w:fill="EAEAEA"/>
          </w:tcPr>
          <w:p>
            <w:pPr>
              <w:spacing w:after="0"/>
              <w:rPr>
                <w:sz w:val="20"/>
                <w:szCs w:val="20"/>
                <w:color w:val="auto"/>
              </w:rPr>
            </w:pPr>
          </w:p>
        </w:tc>
        <w:tc>
          <w:tcPr>
            <w:tcW w:w="6100" w:type="dxa"/>
            <w:vAlign w:val="bottom"/>
            <w:tcBorders>
              <w:top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shd w:val="clear" w:color="auto" w:fill="EAEAEA"/>
              </w:rPr>
              <w:t>Total costs and expenses</w:t>
            </w:r>
          </w:p>
        </w:tc>
        <w:tc>
          <w:tcPr>
            <w:tcW w:w="80" w:type="dxa"/>
            <w:vAlign w:val="bottom"/>
            <w:tcBorders>
              <w:top w:val="single" w:sz="8" w:color="auto"/>
              <w:bottom w:val="single" w:sz="8" w:color="auto"/>
            </w:tcBorders>
            <w:shd w:val="clear" w:color="auto" w:fill="EAEAEA"/>
          </w:tcPr>
          <w:p>
            <w:pPr>
              <w:spacing w:after="0"/>
              <w:rPr>
                <w:sz w:val="20"/>
                <w:szCs w:val="20"/>
                <w:color w:val="auto"/>
              </w:rPr>
            </w:pPr>
          </w:p>
        </w:tc>
        <w:tc>
          <w:tcPr>
            <w:tcW w:w="1200" w:type="dxa"/>
            <w:vAlign w:val="bottom"/>
            <w:tcBorders>
              <w:top w:val="single" w:sz="8" w:color="auto"/>
              <w:bottom w:val="single" w:sz="8" w:color="auto"/>
            </w:tcBorders>
            <w:gridSpan w:val="7"/>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2,867,766</w:t>
            </w:r>
          </w:p>
        </w:tc>
        <w:tc>
          <w:tcPr>
            <w:tcW w:w="20" w:type="dxa"/>
            <w:vAlign w:val="bottom"/>
            <w:tcBorders>
              <w:top w:val="single" w:sz="8" w:color="auto"/>
              <w:bottom w:val="single" w:sz="8" w:color="auto"/>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20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auto"/>
            </w:tcBorders>
            <w:shd w:val="clear" w:color="auto" w:fill="EAEAEA"/>
          </w:tcPr>
          <w:p>
            <w:pPr>
              <w:spacing w:after="0"/>
              <w:rPr>
                <w:sz w:val="20"/>
                <w:szCs w:val="20"/>
                <w:color w:val="auto"/>
              </w:rPr>
            </w:pPr>
          </w:p>
        </w:tc>
        <w:tc>
          <w:tcPr>
            <w:tcW w:w="1020" w:type="dxa"/>
            <w:vAlign w:val="bottom"/>
            <w:tcBorders>
              <w:top w:val="single" w:sz="8" w:color="auto"/>
              <w:bottom w:val="single" w:sz="8" w:color="auto"/>
            </w:tcBorders>
            <w:gridSpan w:val="6"/>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EAEAEA"/>
              </w:rPr>
              <w:t>2,866,779</w:t>
            </w:r>
          </w:p>
        </w:tc>
        <w:tc>
          <w:tcPr>
            <w:tcW w:w="0" w:type="dxa"/>
            <w:vAlign w:val="bottom"/>
            <w:tcBorders>
              <w:top w:val="single" w:sz="8" w:color="auto"/>
              <w:bottom w:val="single" w:sz="8" w:color="auto"/>
            </w:tcBorders>
            <w:shd w:val="clear" w:color="auto" w:fill="EAEAEA"/>
          </w:tcPr>
          <w:p>
            <w:pPr>
              <w:spacing w:after="0"/>
              <w:rPr>
                <w:sz w:val="20"/>
                <w:szCs w:val="20"/>
                <w:color w:val="auto"/>
              </w:rPr>
            </w:pPr>
          </w:p>
        </w:tc>
        <w:tc>
          <w:tcPr>
            <w:tcW w:w="60" w:type="dxa"/>
            <w:vAlign w:val="bottom"/>
            <w:tcBorders>
              <w:top w:val="single" w:sz="8" w:color="EAEAEA"/>
            </w:tcBorders>
            <w:shd w:val="clear" w:color="auto" w:fill="EAEAEA"/>
          </w:tcPr>
          <w:p>
            <w:pPr>
              <w:spacing w:after="0"/>
              <w:rPr>
                <w:sz w:val="20"/>
                <w:szCs w:val="20"/>
                <w:color w:val="auto"/>
              </w:rPr>
            </w:pPr>
          </w:p>
        </w:tc>
        <w:tc>
          <w:tcPr>
            <w:tcW w:w="20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auto"/>
              <w:bottom w:val="single" w:sz="8" w:color="auto"/>
            </w:tcBorders>
            <w:shd w:val="clear" w:color="auto" w:fill="EAEAEA"/>
          </w:tcPr>
          <w:p>
            <w:pPr>
              <w:spacing w:after="0"/>
              <w:rPr>
                <w:sz w:val="20"/>
                <w:szCs w:val="20"/>
                <w:color w:val="auto"/>
              </w:rPr>
            </w:pPr>
          </w:p>
        </w:tc>
        <w:tc>
          <w:tcPr>
            <w:tcW w:w="1180" w:type="dxa"/>
            <w:vAlign w:val="bottom"/>
            <w:tcBorders>
              <w:top w:val="single" w:sz="8" w:color="auto"/>
              <w:bottom w:val="single" w:sz="8" w:color="auto"/>
            </w:tcBorders>
            <w:gridSpan w:val="5"/>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2,756,548</w:t>
            </w:r>
          </w:p>
        </w:tc>
        <w:tc>
          <w:tcPr>
            <w:tcW w:w="40" w:type="dxa"/>
            <w:vAlign w:val="bottom"/>
            <w:tcBorders>
              <w:top w:val="single" w:sz="8" w:color="auto"/>
              <w:bottom w:val="single" w:sz="8" w:color="auto"/>
            </w:tcBorders>
            <w:gridSpan w:val="2"/>
            <w:shd w:val="clear" w:color="auto" w:fill="EAEAEA"/>
          </w:tcPr>
          <w:p>
            <w:pPr>
              <w:spacing w:after="0"/>
              <w:rPr>
                <w:sz w:val="20"/>
                <w:szCs w:val="20"/>
                <w:color w:val="auto"/>
              </w:rPr>
            </w:pPr>
          </w:p>
        </w:tc>
        <w:tc>
          <w:tcPr>
            <w:tcW w:w="20" w:type="dxa"/>
            <w:vAlign w:val="bottom"/>
            <w:tcBorders>
              <w:top w:val="single" w:sz="8" w:color="auto"/>
              <w:bottom w:val="single" w:sz="8" w:color="auto"/>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income</w:t>
            </w:r>
          </w:p>
        </w:tc>
        <w:tc>
          <w:tcPr>
            <w:tcW w:w="80" w:type="dxa"/>
            <w:vAlign w:val="bottom"/>
          </w:tcPr>
          <w:p>
            <w:pPr>
              <w:spacing w:after="0"/>
              <w:rPr>
                <w:sz w:val="20"/>
                <w:szCs w:val="20"/>
                <w:color w:val="auto"/>
              </w:rPr>
            </w:pP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496,284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399,097</w:t>
            </w:r>
          </w:p>
        </w:tc>
        <w:tc>
          <w:tcPr>
            <w:tcW w:w="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335,092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300" w:type="dxa"/>
            <w:vAlign w:val="bottom"/>
            <w:tcBorders>
              <w:bottom w:val="single" w:sz="8" w:color="EAEAEA"/>
            </w:tcBorders>
            <w:gridSpan w:val="2"/>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Other income</w:t>
            </w:r>
          </w:p>
        </w:tc>
        <w:tc>
          <w:tcPr>
            <w:tcW w:w="80" w:type="dxa"/>
            <w:vAlign w:val="bottom"/>
            <w:tcBorders>
              <w:bottom w:val="single" w:sz="8" w:color="EAEAEA"/>
            </w:tcBorders>
            <w:shd w:val="clear" w:color="auto" w:fill="EAEAEA"/>
          </w:tcPr>
          <w:p>
            <w:pPr>
              <w:spacing w:after="0"/>
              <w:rPr>
                <w:sz w:val="19"/>
                <w:szCs w:val="19"/>
                <w:color w:val="auto"/>
              </w:rPr>
            </w:pPr>
          </w:p>
        </w:tc>
        <w:tc>
          <w:tcPr>
            <w:tcW w:w="500" w:type="dxa"/>
            <w:vAlign w:val="bottom"/>
            <w:tcBorders>
              <w:bottom w:val="single" w:sz="8" w:color="EAEAEA"/>
            </w:tcBorders>
            <w:gridSpan w:val="2"/>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580" w:type="dxa"/>
            <w:vAlign w:val="bottom"/>
            <w:tcBorders>
              <w:bottom w:val="single" w:sz="8" w:color="EAEAEA"/>
            </w:tcBorders>
            <w:gridSpan w:val="3"/>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21,455</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600" w:type="dxa"/>
            <w:vAlign w:val="bottom"/>
            <w:tcBorders>
              <w:bottom w:val="single" w:sz="8" w:color="EAEAEA"/>
            </w:tcBorders>
            <w:gridSpan w:val="3"/>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12,795</w:t>
            </w: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580" w:type="dxa"/>
            <w:vAlign w:val="bottom"/>
            <w:tcBorders>
              <w:bottom w:val="single" w:sz="8" w:color="EAEAEA"/>
            </w:tcBorders>
            <w:gridSpan w:val="3"/>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11,041</w:t>
            </w:r>
          </w:p>
        </w:tc>
        <w:tc>
          <w:tcPr>
            <w:tcW w:w="40" w:type="dxa"/>
            <w:vAlign w:val="bottom"/>
            <w:tcBorders>
              <w:bottom w:val="single" w:sz="8" w:color="EAEAEA"/>
            </w:tcBorders>
            <w:gridSpan w:val="2"/>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24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4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6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gridSpan w:val="3"/>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3"/>
              </w:rPr>
              <w:t>(46,327</w:t>
            </w:r>
          </w:p>
        </w:tc>
        <w:tc>
          <w:tcPr>
            <w:tcW w:w="40" w:type="dxa"/>
            <w:vAlign w:val="bottom"/>
            <w:gridSpan w:val="2"/>
            <w:vMerge w:val="continue"/>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2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93"/>
              </w:rPr>
              <w:t>(49,129</w:t>
            </w:r>
          </w:p>
        </w:tc>
        <w:tc>
          <w:tcPr>
            <w:tcW w:w="0" w:type="dxa"/>
            <w:vAlign w:val="bottom"/>
            <w:vMerge w:val="continue"/>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8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0"/>
              </w:rPr>
              <w:t>(52,008</w:t>
            </w:r>
          </w:p>
        </w:tc>
        <w:tc>
          <w:tcPr>
            <w:tcW w:w="60" w:type="dxa"/>
            <w:vAlign w:val="bottom"/>
            <w:gridSpan w:val="3"/>
            <w:vMerge w:val="continue"/>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0" w:type="dxa"/>
            <w:vAlign w:val="bottom"/>
            <w:tcBorders>
              <w:top w:val="single" w:sz="8" w:color="EAEAEA"/>
            </w:tcBorders>
            <w:shd w:val="clear" w:color="auto" w:fill="EAEAEA"/>
          </w:tcPr>
          <w:p>
            <w:pPr>
              <w:spacing w:after="0"/>
              <w:rPr>
                <w:sz w:val="20"/>
                <w:szCs w:val="20"/>
                <w:color w:val="auto"/>
              </w:rPr>
            </w:pPr>
          </w:p>
        </w:tc>
        <w:tc>
          <w:tcPr>
            <w:tcW w:w="6100" w:type="dxa"/>
            <w:vAlign w:val="bottom"/>
            <w:tcBorders>
              <w:top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shd w:val="clear" w:color="auto" w:fill="EAEAEA"/>
              </w:rPr>
              <w:t>Earnings before taxes on income</w:t>
            </w:r>
          </w:p>
        </w:tc>
        <w:tc>
          <w:tcPr>
            <w:tcW w:w="80" w:type="dxa"/>
            <w:vAlign w:val="bottom"/>
            <w:tcBorders>
              <w:top w:val="single" w:sz="8" w:color="auto"/>
            </w:tcBorders>
            <w:shd w:val="clear" w:color="auto" w:fill="EAEAEA"/>
          </w:tcPr>
          <w:p>
            <w:pPr>
              <w:spacing w:after="0"/>
              <w:rPr>
                <w:sz w:val="20"/>
                <w:szCs w:val="20"/>
                <w:color w:val="auto"/>
              </w:rPr>
            </w:pPr>
          </w:p>
        </w:tc>
        <w:tc>
          <w:tcPr>
            <w:tcW w:w="500" w:type="dxa"/>
            <w:vAlign w:val="bottom"/>
            <w:tcBorders>
              <w:top w:val="single" w:sz="8" w:color="auto"/>
            </w:tcBorders>
            <w:gridSpan w:val="2"/>
            <w:shd w:val="clear" w:color="auto" w:fill="EAEAEA"/>
          </w:tcPr>
          <w:p>
            <w:pPr>
              <w:spacing w:after="0"/>
              <w:rPr>
                <w:sz w:val="20"/>
                <w:szCs w:val="20"/>
                <w:color w:val="auto"/>
              </w:rPr>
            </w:pPr>
          </w:p>
        </w:tc>
        <w:tc>
          <w:tcPr>
            <w:tcW w:w="700" w:type="dxa"/>
            <w:vAlign w:val="bottom"/>
            <w:tcBorders>
              <w:top w:val="single" w:sz="8" w:color="auto"/>
            </w:tcBorders>
            <w:gridSpan w:val="5"/>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471,412</w:t>
            </w:r>
          </w:p>
        </w:tc>
        <w:tc>
          <w:tcPr>
            <w:tcW w:w="2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20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tcBorders>
            <w:shd w:val="clear" w:color="auto" w:fill="EAEAEA"/>
          </w:tcPr>
          <w:p>
            <w:pPr>
              <w:spacing w:after="0"/>
              <w:rPr>
                <w:sz w:val="20"/>
                <w:szCs w:val="20"/>
                <w:color w:val="auto"/>
              </w:rPr>
            </w:pPr>
          </w:p>
        </w:tc>
        <w:tc>
          <w:tcPr>
            <w:tcW w:w="200" w:type="dxa"/>
            <w:vAlign w:val="bottom"/>
            <w:tcBorders>
              <w:top w:val="single" w:sz="8" w:color="auto"/>
            </w:tcBorders>
            <w:shd w:val="clear" w:color="auto" w:fill="EAEAEA"/>
          </w:tcPr>
          <w:p>
            <w:pPr>
              <w:spacing w:after="0"/>
              <w:rPr>
                <w:sz w:val="20"/>
                <w:szCs w:val="20"/>
                <w:color w:val="auto"/>
              </w:rPr>
            </w:pPr>
          </w:p>
        </w:tc>
        <w:tc>
          <w:tcPr>
            <w:tcW w:w="800" w:type="dxa"/>
            <w:vAlign w:val="bottom"/>
            <w:tcBorders>
              <w:top w:val="single" w:sz="8" w:color="auto"/>
            </w:tcBorders>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362,763</w:t>
            </w:r>
          </w:p>
        </w:tc>
        <w:tc>
          <w:tcPr>
            <w:tcW w:w="20" w:type="dxa"/>
            <w:vAlign w:val="bottom"/>
            <w:tcBorders>
              <w:top w:val="single" w:sz="8" w:color="auto"/>
            </w:tcBorders>
            <w:gridSpan w:val="2"/>
            <w:shd w:val="clear" w:color="auto" w:fill="EAEAEA"/>
          </w:tcPr>
          <w:p>
            <w:pPr>
              <w:spacing w:after="0"/>
              <w:rPr>
                <w:sz w:val="20"/>
                <w:szCs w:val="20"/>
                <w:color w:val="auto"/>
              </w:rPr>
            </w:pPr>
          </w:p>
        </w:tc>
        <w:tc>
          <w:tcPr>
            <w:tcW w:w="60" w:type="dxa"/>
            <w:vAlign w:val="bottom"/>
            <w:tcBorders>
              <w:top w:val="single" w:sz="8" w:color="EAEAEA"/>
            </w:tcBorders>
            <w:shd w:val="clear" w:color="auto" w:fill="EAEAEA"/>
          </w:tcPr>
          <w:p>
            <w:pPr>
              <w:spacing w:after="0"/>
              <w:rPr>
                <w:sz w:val="20"/>
                <w:szCs w:val="20"/>
                <w:color w:val="auto"/>
              </w:rPr>
            </w:pPr>
          </w:p>
        </w:tc>
        <w:tc>
          <w:tcPr>
            <w:tcW w:w="20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auto"/>
            </w:tcBorders>
            <w:shd w:val="clear" w:color="auto" w:fill="EAEAEA"/>
          </w:tcPr>
          <w:p>
            <w:pPr>
              <w:spacing w:after="0"/>
              <w:rPr>
                <w:sz w:val="20"/>
                <w:szCs w:val="20"/>
                <w:color w:val="auto"/>
              </w:rPr>
            </w:pPr>
          </w:p>
        </w:tc>
        <w:tc>
          <w:tcPr>
            <w:tcW w:w="400" w:type="dxa"/>
            <w:vAlign w:val="bottom"/>
            <w:tcBorders>
              <w:top w:val="single" w:sz="8" w:color="auto"/>
            </w:tcBorders>
            <w:shd w:val="clear" w:color="auto" w:fill="EAEAEA"/>
          </w:tcPr>
          <w:p>
            <w:pPr>
              <w:spacing w:after="0"/>
              <w:rPr>
                <w:sz w:val="20"/>
                <w:szCs w:val="20"/>
                <w:color w:val="auto"/>
              </w:rPr>
            </w:pPr>
          </w:p>
        </w:tc>
        <w:tc>
          <w:tcPr>
            <w:tcW w:w="780" w:type="dxa"/>
            <w:vAlign w:val="bottom"/>
            <w:tcBorders>
              <w:top w:val="single" w:sz="8" w:color="auto"/>
            </w:tcBorders>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294,125</w:t>
            </w:r>
          </w:p>
        </w:tc>
        <w:tc>
          <w:tcPr>
            <w:tcW w:w="2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auto"/>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Provision for taxes on income</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5"/>
                <w:szCs w:val="5"/>
                <w:color w:val="auto"/>
              </w:rPr>
            </w:pPr>
          </w:p>
        </w:tc>
        <w:tc>
          <w:tcPr>
            <w:tcW w:w="340" w:type="dxa"/>
            <w:vAlign w:val="bottom"/>
            <w:gridSpan w:val="3"/>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4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spacing w:after="0"/>
              <w:rPr>
                <w:sz w:val="5"/>
                <w:szCs w:val="5"/>
                <w:color w:val="auto"/>
              </w:rPr>
            </w:pPr>
          </w:p>
        </w:tc>
        <w:tc>
          <w:tcPr>
            <w:tcW w:w="260" w:type="dxa"/>
            <w:vAlign w:val="bottom"/>
            <w:gridSpan w:val="2"/>
          </w:tcPr>
          <w:p>
            <w:pPr>
              <w:spacing w:after="0"/>
              <w:rPr>
                <w:sz w:val="5"/>
                <w:szCs w:val="5"/>
                <w:color w:val="auto"/>
              </w:rPr>
            </w:pPr>
          </w:p>
        </w:tc>
        <w:tc>
          <w:tcPr>
            <w:tcW w:w="360" w:type="dxa"/>
            <w:vAlign w:val="bottom"/>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EAEAEA"/>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gridSpan w:val="5"/>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4"/>
              </w:rPr>
              <w:t>(115,997</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0" w:type="dxa"/>
            <w:vAlign w:val="bottom"/>
            <w:tcBorders>
              <w:bottom w:val="single" w:sz="8" w:color="EAEAEA"/>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3"/>
              </w:rPr>
              <w:t>(75,867</w:t>
            </w:r>
          </w:p>
        </w:tc>
        <w:tc>
          <w:tcPr>
            <w:tcW w:w="20" w:type="dxa"/>
            <w:vAlign w:val="bottom"/>
            <w:tcBorders>
              <w:bottom w:val="single" w:sz="8" w:color="auto"/>
            </w:tcBorders>
            <w:vMerge w:val="continue"/>
          </w:tcPr>
          <w:p>
            <w:pPr>
              <w:spacing w:after="0"/>
              <w:rPr>
                <w:sz w:val="15"/>
                <w:szCs w:val="15"/>
                <w:color w:val="auto"/>
              </w:rPr>
            </w:pPr>
          </w:p>
        </w:tc>
        <w:tc>
          <w:tcPr>
            <w:tcW w:w="0" w:type="dxa"/>
            <w:vAlign w:val="bottom"/>
            <w:tcBorders>
              <w:bottom w:val="single" w:sz="8" w:color="auto"/>
            </w:tcBorders>
          </w:tcPr>
          <w:p>
            <w:pPr>
              <w:spacing w:after="0"/>
              <w:rPr>
                <w:sz w:val="15"/>
                <w:szCs w:val="15"/>
                <w:color w:val="auto"/>
              </w:rPr>
            </w:pPr>
          </w:p>
        </w:tc>
        <w:tc>
          <w:tcPr>
            <w:tcW w:w="60" w:type="dxa"/>
            <w:vAlign w:val="bottom"/>
            <w:tcBorders>
              <w:bottom w:val="single" w:sz="8" w:color="EAEAEA"/>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EAEAEA"/>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gridSpan w:val="5"/>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93"/>
              </w:rPr>
              <w:t>(71,220</w:t>
            </w:r>
          </w:p>
        </w:tc>
        <w:tc>
          <w:tcPr>
            <w:tcW w:w="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300" w:type="dxa"/>
            <w:vAlign w:val="bottom"/>
            <w:gridSpan w:val="2"/>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shd w:val="clear" w:color="auto" w:fill="EAEAEA"/>
              </w:rPr>
              <w:t>Net earnings</w:t>
            </w:r>
          </w:p>
        </w:tc>
        <w:tc>
          <w:tcPr>
            <w:tcW w:w="80" w:type="dxa"/>
            <w:vAlign w:val="bottom"/>
            <w:shd w:val="clear" w:color="auto" w:fill="EAEAEA"/>
          </w:tcPr>
          <w:p>
            <w:pPr>
              <w:spacing w:after="0"/>
              <w:rPr>
                <w:sz w:val="20"/>
                <w:szCs w:val="20"/>
                <w:color w:val="auto"/>
              </w:rPr>
            </w:pPr>
          </w:p>
        </w:tc>
        <w:tc>
          <w:tcPr>
            <w:tcW w:w="500" w:type="dxa"/>
            <w:vAlign w:val="bottom"/>
            <w:gridSpan w:val="2"/>
            <w:shd w:val="clear" w:color="auto" w:fill="EAEAEA"/>
          </w:tcPr>
          <w:p>
            <w:pPr>
              <w:spacing w:after="0"/>
              <w:rPr>
                <w:sz w:val="20"/>
                <w:szCs w:val="20"/>
                <w:color w:val="auto"/>
              </w:rPr>
            </w:pPr>
          </w:p>
        </w:tc>
        <w:tc>
          <w:tcPr>
            <w:tcW w:w="68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355,415</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820" w:type="dxa"/>
            <w:vAlign w:val="bottom"/>
            <w:gridSpan w:val="6"/>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EAEAEA"/>
              </w:rPr>
              <w:t>286,896</w:t>
            </w:r>
          </w:p>
        </w:tc>
        <w:tc>
          <w:tcPr>
            <w:tcW w:w="6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400" w:type="dxa"/>
            <w:vAlign w:val="bottom"/>
            <w:shd w:val="clear" w:color="auto" w:fill="EAEAEA"/>
          </w:tcPr>
          <w:p>
            <w:pPr>
              <w:spacing w:after="0"/>
              <w:rPr>
                <w:sz w:val="20"/>
                <w:szCs w:val="20"/>
                <w:color w:val="auto"/>
              </w:rPr>
            </w:pPr>
          </w:p>
        </w:tc>
        <w:tc>
          <w:tcPr>
            <w:tcW w:w="78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222,905</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Less: Net (earnings) loss attributable to noncontrolling interests</w:t>
            </w:r>
          </w:p>
        </w:tc>
        <w:tc>
          <w:tcPr>
            <w:tcW w:w="80" w:type="dxa"/>
            <w:vAlign w:val="bottom"/>
          </w:tcPr>
          <w:p>
            <w:pPr>
              <w:spacing w:after="0"/>
              <w:rPr>
                <w:sz w:val="5"/>
                <w:szCs w:val="5"/>
                <w:color w:val="auto"/>
              </w:rPr>
            </w:pPr>
          </w:p>
        </w:tc>
        <w:tc>
          <w:tcPr>
            <w:tcW w:w="840" w:type="dxa"/>
            <w:vAlign w:val="bottom"/>
            <w:gridSpan w:val="5"/>
            <w:vMerge w:val="restart"/>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gridSpan w:val="4"/>
            <w:vMerge w:val="restart"/>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EAEAEA"/>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5"/>
            <w:vMerge w:val="continue"/>
          </w:tcPr>
          <w:p>
            <w:pPr>
              <w:spacing w:after="0"/>
              <w:rPr>
                <w:sz w:val="15"/>
                <w:szCs w:val="15"/>
                <w:color w:val="auto"/>
              </w:rPr>
            </w:pPr>
          </w:p>
        </w:tc>
        <w:tc>
          <w:tcPr>
            <w:tcW w:w="36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(846</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0" w:type="dxa"/>
            <w:vAlign w:val="bottom"/>
            <w:tcBorders>
              <w:bottom w:val="single" w:sz="8" w:color="EAEAEA"/>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vMerge w:val="continue"/>
          </w:tcPr>
          <w:p>
            <w:pPr>
              <w:spacing w:after="0"/>
              <w:rPr>
                <w:sz w:val="15"/>
                <w:szCs w:val="15"/>
                <w:color w:val="auto"/>
              </w:rPr>
            </w:pPr>
          </w:p>
        </w:tc>
        <w:tc>
          <w:tcPr>
            <w:tcW w:w="380" w:type="dxa"/>
            <w:vAlign w:val="bottom"/>
            <w:tcBorders>
              <w:bottom w:val="single" w:sz="8" w:color="auto"/>
            </w:tcBorders>
            <w:gridSpan w:val="2"/>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92"/>
              </w:rPr>
              <w:t>(189</w:t>
            </w:r>
          </w:p>
        </w:tc>
        <w:tc>
          <w:tcPr>
            <w:tcW w:w="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AEAEA"/>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EAEAEA"/>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7"/>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0" w:type="dxa"/>
            <w:vAlign w:val="bottom"/>
            <w:tcBorders>
              <w:bottom w:val="single" w:sz="8" w:color="EAEAEA"/>
            </w:tcBorders>
            <w:shd w:val="clear" w:color="auto" w:fill="EAEAEA"/>
          </w:tcPr>
          <w:p>
            <w:pPr>
              <w:spacing w:after="0"/>
              <w:rPr>
                <w:sz w:val="20"/>
                <w:szCs w:val="20"/>
                <w:color w:val="auto"/>
              </w:rPr>
            </w:pPr>
          </w:p>
        </w:tc>
        <w:tc>
          <w:tcPr>
            <w:tcW w:w="6100" w:type="dxa"/>
            <w:vAlign w:val="bottom"/>
            <w:tcBorders>
              <w:bottom w:val="single" w:sz="8" w:color="EAEAEA"/>
            </w:tcBorders>
            <w:shd w:val="clear" w:color="auto" w:fill="EAEAEA"/>
          </w:tcPr>
          <w:p>
            <w:pPr>
              <w:ind w:left="200"/>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Net earnings attributable to Kirby</w:t>
            </w: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00" w:type="dxa"/>
            <w:vAlign w:val="bottom"/>
            <w:tcBorders>
              <w:bottom w:val="single" w:sz="8" w:color="EAEAEA"/>
            </w:tcBorders>
            <w:gridSpan w:val="2"/>
            <w:shd w:val="clear" w:color="auto" w:fill="EAEAEA"/>
          </w:tcPr>
          <w:p>
            <w:pPr>
              <w:spacing w:after="0"/>
              <w:rPr>
                <w:sz w:val="20"/>
                <w:szCs w:val="20"/>
                <w:color w:val="auto"/>
              </w:rPr>
            </w:pPr>
          </w:p>
        </w:tc>
        <w:tc>
          <w:tcPr>
            <w:tcW w:w="700" w:type="dxa"/>
            <w:vAlign w:val="bottom"/>
            <w:tcBorders>
              <w:bottom w:val="single" w:sz="8" w:color="EAEAEA"/>
            </w:tcBorders>
            <w:gridSpan w:val="5"/>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354,569</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200" w:type="dxa"/>
            <w:vAlign w:val="bottom"/>
            <w:tcBorders>
              <w:bottom w:val="single" w:sz="8" w:color="EAEAEA"/>
            </w:tcBorders>
            <w:shd w:val="clear" w:color="auto" w:fill="EAEAEA"/>
          </w:tcPr>
          <w:p>
            <w:pPr>
              <w:spacing w:after="0"/>
              <w:rPr>
                <w:sz w:val="20"/>
                <w:szCs w:val="20"/>
                <w:color w:val="auto"/>
              </w:rPr>
            </w:pPr>
          </w:p>
        </w:tc>
        <w:tc>
          <w:tcPr>
            <w:tcW w:w="800" w:type="dxa"/>
            <w:vAlign w:val="bottom"/>
            <w:tcBorders>
              <w:bottom w:val="single" w:sz="8" w:color="EAEAEA"/>
            </w:tcBorders>
            <w:gridSpan w:val="4"/>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286,707</w:t>
            </w:r>
          </w:p>
        </w:tc>
        <w:tc>
          <w:tcPr>
            <w:tcW w:w="20" w:type="dxa"/>
            <w:vAlign w:val="bottom"/>
            <w:tcBorders>
              <w:bottom w:val="single" w:sz="8" w:color="EAEAEA"/>
            </w:tcBorders>
            <w:shd w:val="clear" w:color="auto" w:fill="EAEAEA"/>
          </w:tcPr>
          <w:p>
            <w:pPr>
              <w:spacing w:after="0"/>
              <w:rPr>
                <w:sz w:val="20"/>
                <w:szCs w:val="20"/>
                <w:color w:val="auto"/>
              </w:rPr>
            </w:pPr>
          </w:p>
        </w:tc>
        <w:tc>
          <w:tcPr>
            <w:tcW w:w="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0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gridSpan w:val="4"/>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222,935</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Net earnings per share attributable to Kirby common stockholders:</w:t>
            </w:r>
          </w:p>
        </w:tc>
        <w:tc>
          <w:tcPr>
            <w:tcW w:w="80" w:type="dxa"/>
            <w:vAlign w:val="bottom"/>
            <w:shd w:val="clear" w:color="auto" w:fill="EAEAEA"/>
          </w:tcPr>
          <w:p>
            <w:pPr>
              <w:spacing w:after="0"/>
              <w:rPr>
                <w:sz w:val="21"/>
                <w:szCs w:val="21"/>
                <w:color w:val="auto"/>
              </w:rPr>
            </w:pPr>
          </w:p>
        </w:tc>
        <w:tc>
          <w:tcPr>
            <w:tcW w:w="4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4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3.74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EAEAEA"/>
          </w:tcPr>
          <w:p>
            <w:pPr>
              <w:spacing w:after="0"/>
              <w:rPr>
                <w:sz w:val="17"/>
                <w:szCs w:val="17"/>
                <w:color w:val="auto"/>
              </w:rPr>
            </w:pPr>
          </w:p>
        </w:tc>
        <w:tc>
          <w:tcPr>
            <w:tcW w:w="6100" w:type="dxa"/>
            <w:vAlign w:val="bottom"/>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Diluted</w:t>
            </w:r>
          </w:p>
        </w:tc>
        <w:tc>
          <w:tcPr>
            <w:tcW w:w="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40" w:type="dxa"/>
            <w:vAlign w:val="bottom"/>
            <w:gridSpan w:val="5"/>
            <w:shd w:val="clear" w:color="auto" w:fill="EAEAEA"/>
          </w:tcPr>
          <w:p>
            <w:pPr>
              <w:spacing w:after="0"/>
              <w:rPr>
                <w:sz w:val="17"/>
                <w:szCs w:val="17"/>
                <w:color w:val="auto"/>
              </w:rPr>
            </w:pPr>
          </w:p>
        </w:tc>
        <w:tc>
          <w:tcPr>
            <w:tcW w:w="340" w:type="dxa"/>
            <w:vAlign w:val="bottom"/>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1"/>
                <w:shd w:val="clear" w:color="auto" w:fill="EAEAEA"/>
              </w:rPr>
              <w:t>6.33</w:t>
            </w: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280" w:type="dxa"/>
            <w:vAlign w:val="bottom"/>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640" w:type="dxa"/>
            <w:vAlign w:val="bottom"/>
            <w:gridSpan w:val="4"/>
            <w:shd w:val="clear" w:color="auto" w:fill="EAEAEA"/>
          </w:tcPr>
          <w:p>
            <w:pPr>
              <w:spacing w:after="0"/>
              <w:rPr>
                <w:sz w:val="17"/>
                <w:szCs w:val="17"/>
                <w:color w:val="auto"/>
              </w:rPr>
            </w:pPr>
          </w:p>
        </w:tc>
        <w:tc>
          <w:tcPr>
            <w:tcW w:w="360" w:type="dxa"/>
            <w:vAlign w:val="bottom"/>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1"/>
                <w:shd w:val="clear" w:color="auto" w:fill="EAEAEA"/>
              </w:rPr>
              <w:t>4.91</w:t>
            </w:r>
          </w:p>
        </w:tc>
        <w:tc>
          <w:tcPr>
            <w:tcW w:w="20" w:type="dxa"/>
            <w:vAlign w:val="bottom"/>
            <w:gridSpan w:val="2"/>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60" w:type="dxa"/>
            <w:vAlign w:val="bottom"/>
            <w:gridSpan w:val="4"/>
            <w:shd w:val="clear" w:color="auto" w:fill="EAEAEA"/>
          </w:tcPr>
          <w:p>
            <w:pPr>
              <w:spacing w:after="0"/>
              <w:rPr>
                <w:sz w:val="17"/>
                <w:szCs w:val="17"/>
                <w:color w:val="auto"/>
              </w:rPr>
            </w:pPr>
          </w:p>
        </w:tc>
        <w:tc>
          <w:tcPr>
            <w:tcW w:w="340" w:type="dxa"/>
            <w:vAlign w:val="bottom"/>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1"/>
                <w:shd w:val="clear" w:color="auto" w:fill="EAEAEA"/>
              </w:rPr>
              <w:t>3.72</w:t>
            </w: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0" w:type="dxa"/>
            <w:vAlign w:val="bottom"/>
            <w:shd w:val="clear" w:color="auto" w:fill="EAEAEA"/>
          </w:tcPr>
          <w:p>
            <w:pPr>
              <w:spacing w:after="0"/>
              <w:rPr>
                <w:sz w:val="3"/>
                <w:szCs w:val="3"/>
                <w:color w:val="auto"/>
              </w:rPr>
            </w:pPr>
          </w:p>
        </w:tc>
        <w:tc>
          <w:tcPr>
            <w:tcW w:w="6100" w:type="dxa"/>
            <w:vAlign w:val="bottom"/>
            <w:shd w:val="clear" w:color="auto" w:fill="EAEAEA"/>
          </w:tcPr>
          <w:p>
            <w:pPr>
              <w:spacing w:after="0"/>
              <w:rPr>
                <w:sz w:val="3"/>
                <w:szCs w:val="3"/>
                <w:color w:val="auto"/>
              </w:rPr>
            </w:pPr>
          </w:p>
        </w:tc>
        <w:tc>
          <w:tcPr>
            <w:tcW w:w="80" w:type="dxa"/>
            <w:vAlign w:val="bottom"/>
            <w:shd w:val="clear" w:color="auto" w:fill="EAEAEA"/>
          </w:tcPr>
          <w:p>
            <w:pPr>
              <w:spacing w:after="0"/>
              <w:rPr>
                <w:sz w:val="3"/>
                <w:szCs w:val="3"/>
                <w:color w:val="auto"/>
              </w:rPr>
            </w:pPr>
          </w:p>
        </w:tc>
        <w:tc>
          <w:tcPr>
            <w:tcW w:w="40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40" w:type="dxa"/>
            <w:vAlign w:val="bottom"/>
            <w:shd w:val="clear" w:color="auto" w:fill="EAEAEA"/>
          </w:tcPr>
          <w:p>
            <w:pPr>
              <w:spacing w:after="0"/>
              <w:rPr>
                <w:sz w:val="3"/>
                <w:szCs w:val="3"/>
                <w:color w:val="auto"/>
              </w:rPr>
            </w:pPr>
          </w:p>
        </w:tc>
        <w:tc>
          <w:tcPr>
            <w:tcW w:w="34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40" w:type="dxa"/>
            <w:vAlign w:val="bottom"/>
            <w:shd w:val="clear" w:color="auto" w:fill="EAEAEA"/>
          </w:tcPr>
          <w:p>
            <w:pPr>
              <w:spacing w:after="0"/>
              <w:rPr>
                <w:sz w:val="3"/>
                <w:szCs w:val="3"/>
                <w:color w:val="auto"/>
              </w:rPr>
            </w:pPr>
          </w:p>
        </w:tc>
        <w:tc>
          <w:tcPr>
            <w:tcW w:w="200" w:type="dxa"/>
            <w:vAlign w:val="bottom"/>
            <w:shd w:val="clear" w:color="auto" w:fill="EAEAEA"/>
          </w:tcPr>
          <w:p>
            <w:pPr>
              <w:spacing w:after="0"/>
              <w:rPr>
                <w:sz w:val="3"/>
                <w:szCs w:val="3"/>
                <w:color w:val="auto"/>
              </w:rPr>
            </w:pPr>
          </w:p>
        </w:tc>
        <w:tc>
          <w:tcPr>
            <w:tcW w:w="280" w:type="dxa"/>
            <w:vAlign w:val="bottom"/>
            <w:shd w:val="clear" w:color="auto" w:fill="EAEAEA"/>
          </w:tcPr>
          <w:p>
            <w:pPr>
              <w:spacing w:after="0"/>
              <w:rPr>
                <w:sz w:val="3"/>
                <w:szCs w:val="3"/>
                <w:color w:val="auto"/>
              </w:rPr>
            </w:pPr>
          </w:p>
        </w:tc>
        <w:tc>
          <w:tcPr>
            <w:tcW w:w="200" w:type="dxa"/>
            <w:vAlign w:val="bottom"/>
            <w:shd w:val="clear" w:color="auto" w:fill="EAEAEA"/>
          </w:tcPr>
          <w:p>
            <w:pPr>
              <w:spacing w:after="0"/>
              <w:rPr>
                <w:sz w:val="3"/>
                <w:szCs w:val="3"/>
                <w:color w:val="auto"/>
              </w:rPr>
            </w:pPr>
          </w:p>
        </w:tc>
        <w:tc>
          <w:tcPr>
            <w:tcW w:w="20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40" w:type="dxa"/>
            <w:vAlign w:val="bottom"/>
            <w:shd w:val="clear" w:color="auto" w:fill="EAEAEA"/>
          </w:tcPr>
          <w:p>
            <w:pPr>
              <w:spacing w:after="0"/>
              <w:rPr>
                <w:sz w:val="3"/>
                <w:szCs w:val="3"/>
                <w:color w:val="auto"/>
              </w:rPr>
            </w:pPr>
          </w:p>
        </w:tc>
        <w:tc>
          <w:tcPr>
            <w:tcW w:w="36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0" w:type="dxa"/>
            <w:vAlign w:val="bottom"/>
            <w:shd w:val="clear" w:color="auto" w:fill="EAEAEA"/>
          </w:tcPr>
          <w:p>
            <w:pPr>
              <w:spacing w:after="0"/>
              <w:rPr>
                <w:sz w:val="3"/>
                <w:szCs w:val="3"/>
                <w:color w:val="auto"/>
              </w:rPr>
            </w:pPr>
          </w:p>
        </w:tc>
        <w:tc>
          <w:tcPr>
            <w:tcW w:w="60" w:type="dxa"/>
            <w:vAlign w:val="bottom"/>
            <w:shd w:val="clear" w:color="auto" w:fill="EAEAEA"/>
          </w:tcPr>
          <w:p>
            <w:pPr>
              <w:spacing w:after="0"/>
              <w:rPr>
                <w:sz w:val="3"/>
                <w:szCs w:val="3"/>
                <w:color w:val="auto"/>
              </w:rPr>
            </w:pPr>
          </w:p>
        </w:tc>
        <w:tc>
          <w:tcPr>
            <w:tcW w:w="200" w:type="dxa"/>
            <w:vAlign w:val="bottom"/>
            <w:shd w:val="clear" w:color="auto" w:fill="EAEAEA"/>
          </w:tcPr>
          <w:p>
            <w:pPr>
              <w:spacing w:after="0"/>
              <w:rPr>
                <w:sz w:val="3"/>
                <w:szCs w:val="3"/>
                <w:color w:val="auto"/>
              </w:rPr>
            </w:pPr>
          </w:p>
        </w:tc>
        <w:tc>
          <w:tcPr>
            <w:tcW w:w="80" w:type="dxa"/>
            <w:vAlign w:val="bottom"/>
            <w:shd w:val="clear" w:color="auto" w:fill="EAEAEA"/>
          </w:tcPr>
          <w:p>
            <w:pPr>
              <w:spacing w:after="0"/>
              <w:rPr>
                <w:sz w:val="3"/>
                <w:szCs w:val="3"/>
                <w:color w:val="auto"/>
              </w:rPr>
            </w:pPr>
          </w:p>
        </w:tc>
        <w:tc>
          <w:tcPr>
            <w:tcW w:w="400" w:type="dxa"/>
            <w:vAlign w:val="bottom"/>
            <w:shd w:val="clear" w:color="auto" w:fill="EAEAEA"/>
          </w:tcPr>
          <w:p>
            <w:pPr>
              <w:spacing w:after="0"/>
              <w:rPr>
                <w:sz w:val="3"/>
                <w:szCs w:val="3"/>
                <w:color w:val="auto"/>
              </w:rPr>
            </w:pPr>
          </w:p>
        </w:tc>
        <w:tc>
          <w:tcPr>
            <w:tcW w:w="20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60" w:type="dxa"/>
            <w:vAlign w:val="bottom"/>
            <w:shd w:val="clear" w:color="auto" w:fill="EAEAEA"/>
          </w:tcPr>
          <w:p>
            <w:pPr>
              <w:spacing w:after="0"/>
              <w:rPr>
                <w:sz w:val="3"/>
                <w:szCs w:val="3"/>
                <w:color w:val="auto"/>
              </w:rPr>
            </w:pPr>
          </w:p>
        </w:tc>
        <w:tc>
          <w:tcPr>
            <w:tcW w:w="32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40" w:type="dxa"/>
            <w:vAlign w:val="bottom"/>
            <w:shd w:val="clear" w:color="auto" w:fill="EAEAEA"/>
          </w:tcPr>
          <w:p>
            <w:pPr>
              <w:spacing w:after="0"/>
              <w:rPr>
                <w:sz w:val="3"/>
                <w:szCs w:val="3"/>
                <w:color w:val="auto"/>
              </w:rPr>
            </w:pPr>
          </w:p>
        </w:tc>
        <w:tc>
          <w:tcPr>
            <w:tcW w:w="20" w:type="dxa"/>
            <w:vAlign w:val="bottom"/>
            <w:shd w:val="clear" w:color="auto" w:fill="EAEAEA"/>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800"/>
          </w:cols>
          <w:pgMar w:left="720" w:top="926" w:right="720" w:bottom="176"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926" w:right="720" w:bottom="176"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KIRBY CORPORATION AND CONSOLIDATED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760" w:type="dxa"/>
            <w:vAlign w:val="bottom"/>
            <w:gridSpan w:val="12"/>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4"/>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EAEAEA"/>
            </w:tcBorders>
            <w:shd w:val="clear" w:color="auto" w:fill="EAEAEA"/>
          </w:tcPr>
          <w:p>
            <w:pPr>
              <w:spacing w:after="0" w:line="202" w:lineRule="exact"/>
              <w:rPr>
                <w:sz w:val="20"/>
                <w:szCs w:val="20"/>
                <w:color w:val="auto"/>
              </w:rPr>
            </w:pPr>
            <w:r>
              <w:rPr>
                <w:rFonts w:ascii="Times New Roman" w:cs="Times New Roman" w:eastAsia="Times New Roman" w:hAnsi="Times New Roman"/>
                <w:sz w:val="20"/>
                <w:szCs w:val="20"/>
                <w:color w:val="auto"/>
                <w:shd w:val="clear" w:color="auto" w:fill="EAEAEA"/>
              </w:rPr>
              <w:t>Net earnings</w:t>
            </w: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00" w:type="dxa"/>
            <w:vAlign w:val="bottom"/>
            <w:tcBorders>
              <w:bottom w:val="single" w:sz="8" w:color="EAEAEA"/>
            </w:tcBorders>
            <w:gridSpan w:val="2"/>
            <w:shd w:val="clear" w:color="auto" w:fill="EAEAEA"/>
          </w:tcPr>
          <w:p>
            <w:pPr>
              <w:jc w:val="right"/>
              <w:spacing w:after="0" w:line="202" w:lineRule="exact"/>
              <w:rPr>
                <w:sz w:val="20"/>
                <w:szCs w:val="20"/>
                <w:color w:val="auto"/>
              </w:rPr>
            </w:pPr>
            <w:r>
              <w:rPr>
                <w:rFonts w:ascii="Times New Roman" w:cs="Times New Roman" w:eastAsia="Times New Roman" w:hAnsi="Times New Roman"/>
                <w:sz w:val="20"/>
                <w:szCs w:val="20"/>
                <w:color w:val="auto"/>
                <w:shd w:val="clear" w:color="auto" w:fill="EAEAEA"/>
              </w:rPr>
              <w:t>355,415</w:t>
            </w: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gridSpan w:val="2"/>
            <w:shd w:val="clear" w:color="auto" w:fill="EAEAEA"/>
          </w:tcPr>
          <w:p>
            <w:pPr>
              <w:spacing w:after="0"/>
              <w:rPr>
                <w:sz w:val="20"/>
                <w:szCs w:val="20"/>
                <w:color w:val="auto"/>
              </w:rPr>
            </w:pPr>
          </w:p>
        </w:tc>
        <w:tc>
          <w:tcPr>
            <w:tcW w:w="200" w:type="dxa"/>
            <w:vAlign w:val="bottom"/>
            <w:tcBorders>
              <w:bottom w:val="single" w:sz="8" w:color="EAEAEA"/>
            </w:tcBorders>
            <w:gridSpan w:val="2"/>
            <w:shd w:val="clear" w:color="auto" w:fill="EAEAEA"/>
          </w:tcPr>
          <w:p>
            <w:pPr>
              <w:spacing w:after="0"/>
              <w:rPr>
                <w:sz w:val="20"/>
                <w:szCs w:val="20"/>
                <w:color w:val="auto"/>
              </w:rPr>
            </w:pPr>
          </w:p>
        </w:tc>
        <w:tc>
          <w:tcPr>
            <w:tcW w:w="260" w:type="dxa"/>
            <w:vAlign w:val="bottom"/>
            <w:tcBorders>
              <w:bottom w:val="single" w:sz="8" w:color="EAEAEA"/>
            </w:tcBorders>
            <w:shd w:val="clear" w:color="auto" w:fill="EAEAEA"/>
          </w:tcPr>
          <w:p>
            <w:pPr>
              <w:jc w:val="right"/>
              <w:ind w:right="67"/>
              <w:spacing w:after="0" w:line="202"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40" w:type="dxa"/>
            <w:vAlign w:val="bottom"/>
            <w:tcBorders>
              <w:bottom w:val="single" w:sz="8" w:color="EAEAEA"/>
            </w:tcBorders>
            <w:gridSpan w:val="3"/>
            <w:shd w:val="clear" w:color="auto" w:fill="EAEAEA"/>
          </w:tcPr>
          <w:p>
            <w:pPr>
              <w:jc w:val="right"/>
              <w:ind w:right="20"/>
              <w:spacing w:after="0" w:line="202" w:lineRule="exact"/>
              <w:rPr>
                <w:sz w:val="20"/>
                <w:szCs w:val="20"/>
                <w:color w:val="auto"/>
              </w:rPr>
            </w:pPr>
            <w:r>
              <w:rPr>
                <w:rFonts w:ascii="Times New Roman" w:cs="Times New Roman" w:eastAsia="Times New Roman" w:hAnsi="Times New Roman"/>
                <w:sz w:val="20"/>
                <w:szCs w:val="20"/>
                <w:color w:val="auto"/>
                <w:shd w:val="clear" w:color="auto" w:fill="EAEAEA"/>
              </w:rPr>
              <w:t>286,896</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80" w:type="dxa"/>
            <w:vAlign w:val="bottom"/>
            <w:tcBorders>
              <w:bottom w:val="single" w:sz="8" w:color="EAEAEA"/>
            </w:tcBorders>
            <w:gridSpan w:val="2"/>
            <w:shd w:val="clear" w:color="auto" w:fill="EAEAEA"/>
          </w:tcPr>
          <w:p>
            <w:pPr>
              <w:jc w:val="right"/>
              <w:spacing w:after="0" w:line="202" w:lineRule="exact"/>
              <w:rPr>
                <w:sz w:val="20"/>
                <w:szCs w:val="20"/>
                <w:color w:val="auto"/>
              </w:rPr>
            </w:pPr>
            <w:r>
              <w:rPr>
                <w:rFonts w:ascii="Times New Roman" w:cs="Times New Roman" w:eastAsia="Times New Roman" w:hAnsi="Times New Roman"/>
                <w:sz w:val="20"/>
                <w:szCs w:val="20"/>
                <w:color w:val="auto"/>
                <w:shd w:val="clear" w:color="auto" w:fill="EAEAEA"/>
              </w:rPr>
              <w:t>222,905</w:t>
            </w:r>
          </w:p>
        </w:tc>
        <w:tc>
          <w:tcPr>
            <w:tcW w:w="2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Other comprehensive income, net of taxes:</w:t>
            </w: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Pension and postretirement benefits</w:t>
            </w:r>
          </w:p>
        </w:tc>
        <w:tc>
          <w:tcPr>
            <w:tcW w:w="280" w:type="dxa"/>
            <w:vAlign w:val="bottom"/>
            <w:shd w:val="clear" w:color="auto" w:fill="EAEAEA"/>
          </w:tcPr>
          <w:p>
            <w:pPr>
              <w:spacing w:after="0"/>
              <w:rPr>
                <w:sz w:val="20"/>
                <w:szCs w:val="20"/>
                <w:color w:val="auto"/>
              </w:rPr>
            </w:pPr>
          </w:p>
        </w:tc>
        <w:tc>
          <w:tcPr>
            <w:tcW w:w="100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14,300</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102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37,043</w:t>
            </w:r>
          </w:p>
        </w:tc>
        <w:tc>
          <w:tcPr>
            <w:tcW w:w="20" w:type="dxa"/>
            <w:vAlign w:val="bottom"/>
            <w:shd w:val="clear" w:color="auto" w:fill="EAEAEA"/>
          </w:tcPr>
          <w:p>
            <w:pPr>
              <w:spacing w:after="0"/>
              <w:rPr>
                <w:sz w:val="20"/>
                <w:szCs w:val="20"/>
                <w:color w:val="auto"/>
              </w:rPr>
            </w:pPr>
          </w:p>
        </w:tc>
        <w:tc>
          <w:tcPr>
            <w:tcW w:w="40" w:type="dxa"/>
            <w:vAlign w:val="bottom"/>
            <w:gridSpan w:val="2"/>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98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16,728</w:t>
            </w:r>
          </w:p>
        </w:tc>
        <w:tc>
          <w:tcPr>
            <w:tcW w:w="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340" w:type="dxa"/>
            <w:vAlign w:val="bottom"/>
            <w:vMerge w:val="restart"/>
          </w:tcPr>
          <w:p>
            <w:pPr>
              <w:ind w:left="200"/>
              <w:spacing w:after="0" w:line="220" w:lineRule="exact"/>
              <w:rPr>
                <w:sz w:val="20"/>
                <w:szCs w:val="20"/>
                <w:color w:val="auto"/>
              </w:rPr>
            </w:pPr>
            <w:r>
              <w:rPr>
                <w:rFonts w:ascii="Times New Roman" w:cs="Times New Roman" w:eastAsia="Times New Roman" w:hAnsi="Times New Roman"/>
                <w:sz w:val="20"/>
                <w:szCs w:val="20"/>
                <w:color w:val="auto"/>
              </w:rPr>
              <w:t>Foreign currency translation adjustments</w:t>
            </w:r>
          </w:p>
        </w:tc>
        <w:tc>
          <w:tcPr>
            <w:tcW w:w="280" w:type="dxa"/>
            <w:vAlign w:val="bottom"/>
          </w:tcPr>
          <w:p>
            <w:pPr>
              <w:spacing w:after="0"/>
              <w:rPr>
                <w:sz w:val="4"/>
                <w:szCs w:val="4"/>
                <w:color w:val="auto"/>
              </w:rPr>
            </w:pPr>
          </w:p>
        </w:tc>
        <w:tc>
          <w:tcPr>
            <w:tcW w:w="1000" w:type="dxa"/>
            <w:vAlign w:val="bottom"/>
            <w:gridSpan w:val="2"/>
            <w:vMerge w:val="restart"/>
          </w:tcPr>
          <w:p>
            <w:pPr>
              <w:jc w:val="right"/>
              <w:spacing w:after="0" w:line="220" w:lineRule="exact"/>
              <w:rPr>
                <w:sz w:val="20"/>
                <w:szCs w:val="20"/>
                <w:color w:val="auto"/>
              </w:rPr>
            </w:pPr>
            <w:r>
              <w:rPr>
                <w:rFonts w:ascii="Times New Roman" w:cs="Times New Roman" w:eastAsia="Times New Roman" w:hAnsi="Times New Roman"/>
                <w:sz w:val="20"/>
                <w:szCs w:val="20"/>
                <w:color w:val="auto"/>
              </w:rPr>
              <w:t>850</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vMerge w:val="restart"/>
          </w:tcPr>
          <w:p>
            <w:pPr>
              <w:spacing w:after="0"/>
              <w:rPr>
                <w:sz w:val="4"/>
                <w:szCs w:val="4"/>
                <w:color w:val="auto"/>
              </w:rPr>
            </w:pPr>
          </w:p>
        </w:tc>
        <w:tc>
          <w:tcPr>
            <w:tcW w:w="4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360" w:type="dxa"/>
            <w:vAlign w:val="bottom"/>
            <w:vMerge w:val="restart"/>
          </w:tcPr>
          <w:p>
            <w:pPr>
              <w:jc w:val="right"/>
              <w:spacing w:after="0" w:line="173" w:lineRule="exact"/>
              <w:rPr>
                <w:sz w:val="20"/>
                <w:szCs w:val="20"/>
                <w:color w:val="auto"/>
              </w:rPr>
            </w:pPr>
            <w:r>
              <w:rPr>
                <w:rFonts w:ascii="Times New Roman" w:cs="Times New Roman" w:eastAsia="Times New Roman" w:hAnsi="Times New Roman"/>
                <w:sz w:val="19"/>
                <w:szCs w:val="19"/>
                <w:color w:val="auto"/>
                <w:highlight w:val="white"/>
                <w:w w:val="97"/>
              </w:rPr>
              <w:t>(857</w:t>
            </w: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40" w:type="dxa"/>
            <w:vAlign w:val="bottom"/>
            <w:tcBorders>
              <w:bottom w:val="single" w:sz="8" w:color="EAEAEA"/>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6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vMerge w:val="continue"/>
          </w:tcPr>
          <w:p>
            <w:pPr>
              <w:spacing w:after="0"/>
              <w:rPr>
                <w:sz w:val="13"/>
                <w:szCs w:val="13"/>
                <w:color w:val="auto"/>
              </w:rPr>
            </w:pPr>
          </w:p>
        </w:tc>
        <w:tc>
          <w:tcPr>
            <w:tcW w:w="4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8"/>
                <w:szCs w:val="18"/>
                <w:color w:val="auto"/>
                <w:w w:val="98"/>
              </w:rPr>
              <w:t>1,425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EAEAEA"/>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EAEAEA"/>
          </w:tcPr>
          <w:p>
            <w:pPr>
              <w:ind w:left="4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Total other comprehensive income, net of taxes</w:t>
            </w:r>
          </w:p>
        </w:tc>
        <w:tc>
          <w:tcPr>
            <w:tcW w:w="28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15,150</w:t>
            </w:r>
          </w:p>
        </w:tc>
        <w:tc>
          <w:tcPr>
            <w:tcW w:w="20" w:type="dxa"/>
            <w:vAlign w:val="bottom"/>
            <w:tcBorders>
              <w:bottom w:val="single" w:sz="8" w:color="auto"/>
            </w:tcBorders>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60" w:type="dxa"/>
            <w:vAlign w:val="bottom"/>
            <w:tcBorders>
              <w:bottom w:val="single" w:sz="8" w:color="auto"/>
            </w:tcBorders>
            <w:shd w:val="clear" w:color="auto" w:fill="EAEAEA"/>
          </w:tcPr>
          <w:p>
            <w:pPr>
              <w:spacing w:after="0"/>
              <w:rPr>
                <w:sz w:val="19"/>
                <w:szCs w:val="19"/>
                <w:color w:val="auto"/>
              </w:rPr>
            </w:pPr>
          </w:p>
        </w:tc>
        <w:tc>
          <w:tcPr>
            <w:tcW w:w="1040" w:type="dxa"/>
            <w:vAlign w:val="bottom"/>
            <w:tcBorders>
              <w:bottom w:val="single" w:sz="8" w:color="auto"/>
            </w:tcBorders>
            <w:gridSpan w:val="3"/>
            <w:shd w:val="clear" w:color="auto" w:fill="EAEAEA"/>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36,186</w:t>
            </w:r>
          </w:p>
        </w:tc>
        <w:tc>
          <w:tcPr>
            <w:tcW w:w="20" w:type="dxa"/>
            <w:vAlign w:val="bottom"/>
            <w:tcBorders>
              <w:bottom w:val="single" w:sz="8" w:color="auto"/>
            </w:tcBorders>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80" w:type="dxa"/>
            <w:vAlign w:val="bottom"/>
            <w:tcBorders>
              <w:bottom w:val="single" w:sz="8" w:color="auto"/>
            </w:tcBorders>
            <w:shd w:val="clear" w:color="auto" w:fill="EAEAEA"/>
          </w:tcPr>
          <w:p>
            <w:pPr>
              <w:spacing w:after="0"/>
              <w:rPr>
                <w:sz w:val="19"/>
                <w:szCs w:val="19"/>
                <w:color w:val="auto"/>
              </w:rPr>
            </w:pPr>
          </w:p>
        </w:tc>
        <w:tc>
          <w:tcPr>
            <w:tcW w:w="980" w:type="dxa"/>
            <w:vAlign w:val="bottom"/>
            <w:tcBorders>
              <w:bottom w:val="single" w:sz="8" w:color="auto"/>
            </w:tcBorders>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18,153</w:t>
            </w:r>
          </w:p>
        </w:tc>
        <w:tc>
          <w:tcPr>
            <w:tcW w:w="20" w:type="dxa"/>
            <w:vAlign w:val="bottom"/>
            <w:tcBorders>
              <w:bottom w:val="single" w:sz="8" w:color="auto"/>
            </w:tcBorders>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Total comprehensive income, net of taxes</w:t>
            </w:r>
          </w:p>
        </w:tc>
        <w:tc>
          <w:tcPr>
            <w:tcW w:w="280" w:type="dxa"/>
            <w:vAlign w:val="bottom"/>
            <w:shd w:val="clear" w:color="auto" w:fill="EAEAEA"/>
          </w:tcPr>
          <w:p>
            <w:pPr>
              <w:spacing w:after="0"/>
              <w:rPr>
                <w:sz w:val="20"/>
                <w:szCs w:val="20"/>
                <w:color w:val="auto"/>
              </w:rPr>
            </w:pPr>
          </w:p>
        </w:tc>
        <w:tc>
          <w:tcPr>
            <w:tcW w:w="100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370,565</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1040" w:type="dxa"/>
            <w:vAlign w:val="bottom"/>
            <w:gridSpan w:val="3"/>
            <w:shd w:val="clear" w:color="auto" w:fill="EAEAEA"/>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323,082</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98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241,058</w:t>
            </w:r>
          </w:p>
        </w:tc>
        <w:tc>
          <w:tcPr>
            <w:tcW w:w="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3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Net (earnings) loss attributable to noncontrolling interests</w:t>
            </w:r>
          </w:p>
        </w:tc>
        <w:tc>
          <w:tcPr>
            <w:tcW w:w="280" w:type="dxa"/>
            <w:vAlign w:val="bottom"/>
          </w:tcPr>
          <w:p>
            <w:pPr>
              <w:spacing w:after="0"/>
              <w:rPr>
                <w:sz w:val="4"/>
                <w:szCs w:val="4"/>
                <w:color w:val="auto"/>
              </w:rPr>
            </w:pPr>
          </w:p>
        </w:tc>
        <w:tc>
          <w:tcPr>
            <w:tcW w:w="64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restart"/>
          </w:tcPr>
          <w:p>
            <w:pPr>
              <w:spacing w:after="0"/>
              <w:rPr>
                <w:sz w:val="4"/>
                <w:szCs w:val="4"/>
                <w:color w:val="auto"/>
              </w:rPr>
            </w:pPr>
          </w:p>
        </w:tc>
        <w:tc>
          <w:tcPr>
            <w:tcW w:w="380" w:type="dxa"/>
            <w:vAlign w:val="bottom"/>
            <w:gridSpan w:val="2"/>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(846</w:t>
            </w:r>
          </w:p>
        </w:tc>
        <w:tc>
          <w:tcPr>
            <w:tcW w:w="40" w:type="dxa"/>
            <w:vAlign w:val="bottom"/>
            <w:gridSpan w:val="2"/>
            <w:vMerge w:val="continue"/>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92"/>
              </w:rPr>
              <w:t>(189</w:t>
            </w:r>
          </w:p>
        </w:tc>
        <w:tc>
          <w:tcPr>
            <w:tcW w:w="40" w:type="dxa"/>
            <w:vAlign w:val="bottom"/>
            <w:gridSpan w:val="2"/>
            <w:vMerge w:val="continue"/>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40" w:type="dxa"/>
            <w:vAlign w:val="bottom"/>
            <w:tcBorders>
              <w:top w:val="single" w:sz="8" w:color="EAEAEA"/>
              <w:bottom w:val="single" w:sz="8" w:color="EAEAEA"/>
            </w:tcBorders>
            <w:shd w:val="clear" w:color="auto" w:fill="EAEAEA"/>
          </w:tcPr>
          <w:p>
            <w:pPr>
              <w:ind w:left="400"/>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Comprehensive income attributable to Kirby</w:t>
            </w:r>
          </w:p>
        </w:tc>
        <w:tc>
          <w:tcPr>
            <w:tcW w:w="28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00" w:type="dxa"/>
            <w:vAlign w:val="bottom"/>
            <w:tcBorders>
              <w:top w:val="single" w:sz="8" w:color="auto"/>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369,719</w:t>
            </w:r>
          </w:p>
        </w:tc>
        <w:tc>
          <w:tcPr>
            <w:tcW w:w="20" w:type="dxa"/>
            <w:vAlign w:val="bottom"/>
            <w:tcBorders>
              <w:top w:val="single" w:sz="8" w:color="auto"/>
              <w:bottom w:val="single" w:sz="8" w:color="EAEAEA"/>
            </w:tcBorders>
            <w:shd w:val="clear" w:color="auto" w:fill="EAEAEA"/>
          </w:tcPr>
          <w:p>
            <w:pPr>
              <w:spacing w:after="0"/>
              <w:rPr>
                <w:sz w:val="19"/>
                <w:szCs w:val="19"/>
                <w:color w:val="auto"/>
              </w:rPr>
            </w:pPr>
          </w:p>
        </w:tc>
        <w:tc>
          <w:tcPr>
            <w:tcW w:w="20" w:type="dxa"/>
            <w:vAlign w:val="bottom"/>
            <w:tcBorders>
              <w:top w:val="single" w:sz="8" w:color="EAEAEA"/>
              <w:bottom w:val="single" w:sz="8" w:color="EAEAEA"/>
            </w:tcBorders>
            <w:shd w:val="clear" w:color="auto" w:fill="EAEAEA"/>
          </w:tcPr>
          <w:p>
            <w:pPr>
              <w:spacing w:after="0"/>
              <w:rPr>
                <w:sz w:val="19"/>
                <w:szCs w:val="19"/>
                <w:color w:val="auto"/>
              </w:rPr>
            </w:pPr>
          </w:p>
        </w:tc>
        <w:tc>
          <w:tcPr>
            <w:tcW w:w="20" w:type="dxa"/>
            <w:vAlign w:val="bottom"/>
            <w:tcBorders>
              <w:top w:val="single" w:sz="8" w:color="EAEAEA"/>
              <w:bottom w:val="single" w:sz="8" w:color="EAEAEA"/>
            </w:tcBorders>
            <w:shd w:val="clear" w:color="auto" w:fill="EAEAEA"/>
          </w:tcPr>
          <w:p>
            <w:pPr>
              <w:spacing w:after="0"/>
              <w:rPr>
                <w:sz w:val="19"/>
                <w:szCs w:val="19"/>
                <w:color w:val="auto"/>
              </w:rPr>
            </w:pPr>
          </w:p>
        </w:tc>
        <w:tc>
          <w:tcPr>
            <w:tcW w:w="6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260" w:type="dxa"/>
            <w:vAlign w:val="bottom"/>
            <w:tcBorders>
              <w:top w:val="single" w:sz="8" w:color="auto"/>
              <w:bottom w:val="single" w:sz="8" w:color="EAEAEA"/>
            </w:tcBorders>
            <w:shd w:val="clear" w:color="auto" w:fill="EAEAEA"/>
          </w:tcPr>
          <w:p>
            <w:pPr>
              <w:jc w:val="right"/>
              <w:ind w:right="67"/>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20" w:type="dxa"/>
            <w:vAlign w:val="bottom"/>
            <w:tcBorders>
              <w:top w:val="single" w:sz="8" w:color="auto"/>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322,893</w:t>
            </w:r>
          </w:p>
        </w:tc>
        <w:tc>
          <w:tcPr>
            <w:tcW w:w="40" w:type="dxa"/>
            <w:vAlign w:val="bottom"/>
            <w:tcBorders>
              <w:top w:val="single" w:sz="8" w:color="auto"/>
              <w:bottom w:val="single" w:sz="8" w:color="EAEAEA"/>
            </w:tcBorders>
            <w:gridSpan w:val="2"/>
            <w:shd w:val="clear" w:color="auto" w:fill="EAEAEA"/>
          </w:tcPr>
          <w:p>
            <w:pPr>
              <w:spacing w:after="0"/>
              <w:rPr>
                <w:sz w:val="19"/>
                <w:szCs w:val="19"/>
                <w:color w:val="auto"/>
              </w:rPr>
            </w:pPr>
          </w:p>
        </w:tc>
        <w:tc>
          <w:tcPr>
            <w:tcW w:w="20" w:type="dxa"/>
            <w:vAlign w:val="bottom"/>
            <w:tcBorders>
              <w:top w:val="single" w:sz="8" w:color="EAEAEA"/>
              <w:bottom w:val="single" w:sz="8" w:color="EAEAEA"/>
            </w:tcBorders>
            <w:shd w:val="clear" w:color="auto" w:fill="EAEAEA"/>
          </w:tcPr>
          <w:p>
            <w:pPr>
              <w:spacing w:after="0"/>
              <w:rPr>
                <w:sz w:val="19"/>
                <w:szCs w:val="19"/>
                <w:color w:val="auto"/>
              </w:rPr>
            </w:pPr>
          </w:p>
        </w:tc>
        <w:tc>
          <w:tcPr>
            <w:tcW w:w="20" w:type="dxa"/>
            <w:vAlign w:val="bottom"/>
            <w:tcBorders>
              <w:top w:val="single" w:sz="8" w:color="EAEAEA"/>
              <w:bottom w:val="single" w:sz="8" w:color="EAEAEA"/>
            </w:tcBorders>
            <w:shd w:val="clear" w:color="auto" w:fill="EAEAEA"/>
          </w:tcPr>
          <w:p>
            <w:pPr>
              <w:spacing w:after="0"/>
              <w:rPr>
                <w:sz w:val="19"/>
                <w:szCs w:val="19"/>
                <w:color w:val="auto"/>
              </w:rPr>
            </w:pPr>
          </w:p>
        </w:tc>
        <w:tc>
          <w:tcPr>
            <w:tcW w:w="4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20" w:type="dxa"/>
            <w:vAlign w:val="bottom"/>
            <w:tcBorders>
              <w:top w:val="single" w:sz="8" w:color="EAEAEA"/>
              <w:bottom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80" w:type="dxa"/>
            <w:vAlign w:val="bottom"/>
            <w:tcBorders>
              <w:top w:val="single" w:sz="8" w:color="auto"/>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241,088</w:t>
            </w:r>
          </w:p>
        </w:tc>
        <w:tc>
          <w:tcPr>
            <w:tcW w:w="20" w:type="dxa"/>
            <w:vAlign w:val="bottom"/>
            <w:tcBorders>
              <w:top w:val="single" w:sz="8" w:color="auto"/>
              <w:bottom w:val="single" w:sz="8" w:color="EAEAEA"/>
            </w:tcBorders>
            <w:shd w:val="clear" w:color="auto" w:fill="EAEAEA"/>
          </w:tcPr>
          <w:p>
            <w:pPr>
              <w:spacing w:after="0"/>
              <w:rPr>
                <w:sz w:val="19"/>
                <w:szCs w:val="19"/>
                <w:color w:val="auto"/>
              </w:rPr>
            </w:pPr>
          </w:p>
        </w:tc>
        <w:tc>
          <w:tcPr>
            <w:tcW w:w="80" w:type="dxa"/>
            <w:vAlign w:val="bottom"/>
            <w:tcBorders>
              <w:top w:val="single" w:sz="8" w:color="EAEAEA"/>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-1645920</wp:posOffset>
            </wp:positionV>
            <wp:extent cx="280225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5">
                      <a:extLst>
                        <a:ext uri="{28A0092B-C50C-407E-A947-70E740481C1C}"/>
                      </a:extLst>
                    </a:blip>
                    <a:srcRect/>
                    <a:stretch>
                      <a:fillRect/>
                    </a:stretch>
                  </pic:blipFill>
                  <pic:spPr bwMode="auto">
                    <a:xfrm>
                      <a:off x="0" y="0"/>
                      <a:ext cx="2802255"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800"/>
          </w:cols>
          <w:pgMar w:left="720" w:top="926" w:right="720" w:bottom="198" w:gutter="0" w:footer="0" w:header="0"/>
        </w:sectPr>
      </w:pP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ectPr>
          <w:pgSz w:w="12240" w:h="15840" w:orient="portrait"/>
          <w:cols w:equalWidth="0" w:num="1">
            <w:col w:w="10800"/>
          </w:cols>
          <w:pgMar w:left="720" w:top="926" w:right="720" w:bottom="198"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KIRBY CORPORATION AND CONSOLIDATED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0"/>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560" w:type="dxa"/>
            <w:vAlign w:val="bottom"/>
            <w:gridSpan w:val="1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highlight w:val="white"/>
              </w:rPr>
              <w:t>Year Ended December 31,</w:t>
            </w:r>
          </w:p>
        </w:tc>
        <w:tc>
          <w:tcPr>
            <w:tcW w:w="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00" w:type="dxa"/>
            <w:vAlign w:val="bottom"/>
            <w:gridSpan w:val="4"/>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Cash flows from operating activities:</w:t>
            </w:r>
          </w:p>
        </w:tc>
        <w:tc>
          <w:tcPr>
            <w:tcW w:w="540" w:type="dxa"/>
            <w:vAlign w:val="bottom"/>
            <w:shd w:val="clear" w:color="auto" w:fill="EAEAEA"/>
          </w:tcPr>
          <w:p>
            <w:pPr>
              <w:spacing w:after="0"/>
              <w:rPr>
                <w:sz w:val="19"/>
                <w:szCs w:val="19"/>
                <w:color w:val="auto"/>
              </w:rPr>
            </w:pP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355,415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286,896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222,905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gridSpan w:val="6"/>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Adjustments to reconcile net earnings to net cash provided by operations:</w:t>
            </w: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60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264,126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240,322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211,156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260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Provision for doubtful accounts</w:t>
            </w:r>
          </w:p>
        </w:tc>
        <w:tc>
          <w:tcPr>
            <w:tcW w:w="540" w:type="dxa"/>
            <w:vAlign w:val="bottom"/>
            <w:tcBorders>
              <w:bottom w:val="single" w:sz="8" w:color="EAEAEA"/>
            </w:tcBorders>
            <w:shd w:val="clear" w:color="auto" w:fill="EAEAEA"/>
          </w:tcPr>
          <w:p>
            <w:pPr>
              <w:spacing w:after="0"/>
              <w:rPr>
                <w:sz w:val="17"/>
                <w:szCs w:val="17"/>
                <w:color w:val="auto"/>
              </w:rPr>
            </w:pPr>
          </w:p>
        </w:tc>
        <w:tc>
          <w:tcPr>
            <w:tcW w:w="274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46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3,499</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2,209</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shd w:val="clear" w:color="auto" w:fill="EAEAEA"/>
          </w:tcPr>
          <w:p>
            <w:pPr>
              <w:spacing w:after="0"/>
              <w:rPr>
                <w:sz w:val="17"/>
                <w:szCs w:val="17"/>
                <w:color w:val="auto"/>
              </w:rPr>
            </w:pPr>
          </w:p>
        </w:tc>
        <w:tc>
          <w:tcPr>
            <w:tcW w:w="38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402</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60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82,455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31,388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65,298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26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Gain on disposition of assets</w:t>
            </w:r>
          </w:p>
        </w:tc>
        <w:tc>
          <w:tcPr>
            <w:tcW w:w="540" w:type="dxa"/>
            <w:vAlign w:val="bottom"/>
            <w:shd w:val="clear" w:color="auto" w:fill="EAEAEA"/>
          </w:tcPr>
          <w:p>
            <w:pPr>
              <w:spacing w:after="0"/>
              <w:rPr>
                <w:sz w:val="19"/>
                <w:szCs w:val="19"/>
                <w:color w:val="auto"/>
              </w:rPr>
            </w:pP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EAEAEA"/>
              </w:rPr>
              <w:t>(4,788</w:t>
            </w:r>
          </w:p>
        </w:tc>
        <w:tc>
          <w:tcPr>
            <w:tcW w:w="20" w:type="dxa"/>
            <w:vAlign w:val="bottom"/>
            <w:shd w:val="clear" w:color="auto" w:fill="EAEAEA"/>
          </w:tcPr>
          <w:p>
            <w:pPr>
              <w:spacing w:after="0"/>
              <w:rPr>
                <w:sz w:val="19"/>
                <w:szCs w:val="19"/>
                <w:color w:val="auto"/>
              </w:rPr>
            </w:pP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4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EAEAEA"/>
              </w:rPr>
              <w:t>(2,207</w:t>
            </w:r>
          </w:p>
        </w:tc>
        <w:tc>
          <w:tcPr>
            <w:tcW w:w="20" w:type="dxa"/>
            <w:vAlign w:val="bottom"/>
            <w:shd w:val="clear" w:color="auto" w:fill="EAEAEA"/>
          </w:tcPr>
          <w:p>
            <w:pPr>
              <w:spacing w:after="0"/>
              <w:rPr>
                <w:sz w:val="19"/>
                <w:szCs w:val="19"/>
                <w:color w:val="auto"/>
              </w:rPr>
            </w:pP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EAEAEA"/>
              </w:rPr>
              <w:t>(5,009</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Impairments</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56,303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314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Amortization of share-based compensation</w:t>
            </w: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5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17,563</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4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15,549</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EAEAEA"/>
              </w:rPr>
              <w:t>14,941</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300" w:type="dxa"/>
            <w:vAlign w:val="bottom"/>
          </w:tcPr>
          <w:p>
            <w:pPr>
              <w:spacing w:after="0"/>
              <w:rPr>
                <w:sz w:val="19"/>
                <w:szCs w:val="19"/>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29,498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260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Other</w:t>
            </w:r>
          </w:p>
        </w:tc>
        <w:tc>
          <w:tcPr>
            <w:tcW w:w="540" w:type="dxa"/>
            <w:vAlign w:val="bottom"/>
            <w:tcBorders>
              <w:bottom w:val="single" w:sz="8" w:color="EAEAEA"/>
            </w:tcBorders>
            <w:shd w:val="clear" w:color="auto" w:fill="EAEAEA"/>
          </w:tcPr>
          <w:p>
            <w:pPr>
              <w:spacing w:after="0"/>
              <w:rPr>
                <w:sz w:val="17"/>
                <w:szCs w:val="17"/>
                <w:color w:val="auto"/>
              </w:rPr>
            </w:pPr>
          </w:p>
        </w:tc>
        <w:tc>
          <w:tcPr>
            <w:tcW w:w="274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ind w:right="20"/>
              <w:spacing w:after="0" w:line="184" w:lineRule="exact"/>
              <w:rPr>
                <w:sz w:val="20"/>
                <w:szCs w:val="20"/>
                <w:color w:val="auto"/>
              </w:rPr>
            </w:pPr>
            <w:r>
              <w:rPr>
                <w:rFonts w:ascii="Times New Roman" w:cs="Times New Roman" w:eastAsia="Times New Roman" w:hAnsi="Times New Roman"/>
                <w:sz w:val="18"/>
                <w:szCs w:val="18"/>
                <w:color w:val="auto"/>
                <w:w w:val="94"/>
                <w:shd w:val="clear" w:color="auto" w:fill="EAEAEA"/>
              </w:rPr>
              <w:t>(1,660</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407</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shd w:val="clear" w:color="auto" w:fill="EAEAEA"/>
          </w:tcPr>
          <w:p>
            <w:pPr>
              <w:spacing w:after="0"/>
              <w:rPr>
                <w:sz w:val="17"/>
                <w:szCs w:val="17"/>
                <w:color w:val="auto"/>
              </w:rPr>
            </w:pPr>
          </w:p>
        </w:tc>
        <w:tc>
          <w:tcPr>
            <w:tcW w:w="38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w w:val="98"/>
                <w:shd w:val="clear" w:color="auto" w:fill="EAEAEA"/>
              </w:rPr>
              <w:t>(3,338</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Increase (decrease) in cash flows resulting from changes in:</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260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Accounts receivable</w:t>
            </w:r>
          </w:p>
        </w:tc>
        <w:tc>
          <w:tcPr>
            <w:tcW w:w="540" w:type="dxa"/>
            <w:vAlign w:val="bottom"/>
            <w:tcBorders>
              <w:bottom w:val="single" w:sz="8" w:color="EAEAEA"/>
            </w:tcBorders>
            <w:shd w:val="clear" w:color="auto" w:fill="EAEAEA"/>
          </w:tcPr>
          <w:p>
            <w:pPr>
              <w:spacing w:after="0"/>
              <w:rPr>
                <w:sz w:val="17"/>
                <w:szCs w:val="17"/>
                <w:color w:val="auto"/>
              </w:rPr>
            </w:pPr>
          </w:p>
        </w:tc>
        <w:tc>
          <w:tcPr>
            <w:tcW w:w="274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50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w w:val="92"/>
                <w:shd w:val="clear" w:color="auto" w:fill="EAEAEA"/>
              </w:rPr>
              <w:t>16,581</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w w:val="92"/>
                <w:shd w:val="clear" w:color="auto" w:fill="EAEAEA"/>
              </w:rPr>
              <w:t>40,458</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shd w:val="clear" w:color="auto" w:fill="EAEAEA"/>
          </w:tcPr>
          <w:p>
            <w:pPr>
              <w:spacing w:after="0"/>
              <w:rPr>
                <w:sz w:val="17"/>
                <w:szCs w:val="17"/>
                <w:color w:val="auto"/>
              </w:rPr>
            </w:pPr>
          </w:p>
        </w:tc>
        <w:tc>
          <w:tcPr>
            <w:tcW w:w="38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(50,135</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7,694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2600" w:type="dxa"/>
            <w:vAlign w:val="bottom"/>
            <w:tcBorders>
              <w:bottom w:val="single" w:sz="8" w:color="EAEAEA"/>
            </w:tcBorders>
            <w:gridSpan w:val="2"/>
            <w:shd w:val="clear" w:color="auto" w:fill="EAEAEA"/>
          </w:tcPr>
          <w:p>
            <w:pPr>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Other assets</w:t>
            </w:r>
          </w:p>
        </w:tc>
        <w:tc>
          <w:tcPr>
            <w:tcW w:w="540" w:type="dxa"/>
            <w:vAlign w:val="bottom"/>
            <w:tcBorders>
              <w:bottom w:val="single" w:sz="8" w:color="EAEAEA"/>
            </w:tcBorders>
            <w:shd w:val="clear" w:color="auto" w:fill="EAEAEA"/>
          </w:tcPr>
          <w:p>
            <w:pPr>
              <w:spacing w:after="0"/>
              <w:rPr>
                <w:sz w:val="17"/>
                <w:szCs w:val="17"/>
                <w:color w:val="auto"/>
              </w:rPr>
            </w:pPr>
          </w:p>
        </w:tc>
        <w:tc>
          <w:tcPr>
            <w:tcW w:w="274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gridSpan w:val="3"/>
            <w:shd w:val="clear" w:color="auto" w:fill="EAEAEA"/>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(48,369</w:t>
            </w: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gridSpan w:val="2"/>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gridSpan w:val="3"/>
            <w:shd w:val="clear" w:color="auto" w:fill="EAEAEA"/>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(18,539</w:t>
            </w: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gridSpan w:val="2"/>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shd w:val="clear" w:color="auto" w:fill="EAEAEA"/>
          </w:tcPr>
          <w:p>
            <w:pPr>
              <w:spacing w:after="0"/>
              <w:rPr>
                <w:sz w:val="17"/>
                <w:szCs w:val="17"/>
                <w:color w:val="auto"/>
              </w:rPr>
            </w:pPr>
          </w:p>
        </w:tc>
        <w:tc>
          <w:tcPr>
            <w:tcW w:w="38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gridSpan w:val="3"/>
            <w:shd w:val="clear" w:color="auto" w:fill="EAEAEA"/>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(37,688</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9"/>
                <w:szCs w:val="19"/>
                <w:color w:val="auto"/>
              </w:rPr>
            </w:pPr>
          </w:p>
        </w:tc>
        <w:tc>
          <w:tcPr>
            <w:tcW w:w="112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(50,632 )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23,787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71,604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26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Accounts payable</w:t>
            </w:r>
          </w:p>
        </w:tc>
        <w:tc>
          <w:tcPr>
            <w:tcW w:w="540" w:type="dxa"/>
            <w:vAlign w:val="bottom"/>
            <w:shd w:val="clear" w:color="auto" w:fill="EAEAEA"/>
          </w:tcPr>
          <w:p>
            <w:pPr>
              <w:spacing w:after="0"/>
              <w:rPr>
                <w:sz w:val="19"/>
                <w:szCs w:val="19"/>
                <w:color w:val="auto"/>
              </w:rPr>
            </w:pP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660" w:type="dxa"/>
            <w:vAlign w:val="bottom"/>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EAEAEA"/>
              </w:rPr>
              <w:t>(18,610</w:t>
            </w: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4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(11,157</w:t>
            </w:r>
          </w:p>
        </w:tc>
        <w:tc>
          <w:tcPr>
            <w:tcW w:w="20" w:type="dxa"/>
            <w:vAlign w:val="bottom"/>
            <w:shd w:val="clear" w:color="auto" w:fill="EAEAEA"/>
          </w:tcPr>
          <w:p>
            <w:pPr>
              <w:spacing w:after="0"/>
              <w:rPr>
                <w:sz w:val="19"/>
                <w:szCs w:val="19"/>
                <w:color w:val="auto"/>
              </w:rPr>
            </w:pP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62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(18,271</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31,703</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EAEAEA"/>
            </w:tcBorders>
          </w:tcPr>
          <w:p>
            <w:pPr>
              <w:spacing w:after="0"/>
              <w:rPr>
                <w:sz w:val="13"/>
                <w:szCs w:val="13"/>
                <w:color w:val="auto"/>
              </w:rPr>
            </w:pPr>
          </w:p>
        </w:tc>
        <w:tc>
          <w:tcPr>
            <w:tcW w:w="200" w:type="dxa"/>
            <w:vAlign w:val="bottom"/>
            <w:tcBorders>
              <w:bottom w:val="single" w:sz="8" w:color="EAEAEA"/>
            </w:tcBorders>
          </w:tcPr>
          <w:p>
            <w:pPr>
              <w:spacing w:after="0"/>
              <w:rPr>
                <w:sz w:val="13"/>
                <w:szCs w:val="13"/>
                <w:color w:val="auto"/>
              </w:rPr>
            </w:pPr>
          </w:p>
        </w:tc>
        <w:tc>
          <w:tcPr>
            <w:tcW w:w="5880" w:type="dxa"/>
            <w:vAlign w:val="bottom"/>
            <w:tcBorders>
              <w:bottom w:val="single" w:sz="8" w:color="EAEAEA"/>
            </w:tcBorders>
            <w:gridSpan w:val="4"/>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rPr>
              <w:t>21,240</w:t>
            </w:r>
          </w:p>
        </w:tc>
        <w:tc>
          <w:tcPr>
            <w:tcW w:w="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4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120" w:type="dxa"/>
            <w:vAlign w:val="bottom"/>
            <w:tcBorders>
              <w:bottom w:val="single" w:sz="8" w:color="EAEAEA"/>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7"/>
                <w:szCs w:val="17"/>
                <w:color w:val="auto"/>
                <w:highlight w:val="white"/>
                <w:w w:val="98"/>
              </w:rPr>
              <w:t>46,360</w:t>
            </w:r>
          </w:p>
        </w:tc>
        <w:tc>
          <w:tcPr>
            <w:tcW w:w="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4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140" w:type="dxa"/>
            <w:vAlign w:val="bottom"/>
            <w:tcBorders>
              <w:bottom w:val="single" w:sz="8" w:color="EAEAEA"/>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vMerge w:val="continue"/>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40" w:type="dxa"/>
            <w:vAlign w:val="bottom"/>
            <w:tcBorders>
              <w:bottom w:val="single" w:sz="8" w:color="EAEAEA"/>
            </w:tcBorders>
          </w:tcPr>
          <w:p>
            <w:pPr>
              <w:spacing w:after="0"/>
              <w:rPr>
                <w:sz w:val="13"/>
                <w:szCs w:val="13"/>
                <w:color w:val="auto"/>
              </w:rPr>
            </w:pPr>
          </w:p>
        </w:tc>
        <w:tc>
          <w:tcPr>
            <w:tcW w:w="20" w:type="dxa"/>
            <w:vAlign w:val="bottom"/>
            <w:tcBorders>
              <w:bottom w:val="single" w:sz="8" w:color="EAEAEA"/>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29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color w:val="auto"/>
                <w:w w:val="98"/>
                <w:shd w:val="clear" w:color="auto" w:fill="EAEAEA"/>
              </w:rPr>
              <w:t>Net cash provided by operating activities</w:t>
            </w:r>
          </w:p>
        </w:tc>
        <w:tc>
          <w:tcPr>
            <w:tcW w:w="2740" w:type="dxa"/>
            <w:vAlign w:val="bottom"/>
            <w:shd w:val="clear" w:color="auto" w:fill="EAEAEA"/>
          </w:tcPr>
          <w:p>
            <w:pPr>
              <w:spacing w:after="0"/>
              <w:rPr>
                <w:sz w:val="18"/>
                <w:szCs w:val="18"/>
                <w:color w:val="auto"/>
              </w:rPr>
            </w:pPr>
          </w:p>
        </w:tc>
        <w:tc>
          <w:tcPr>
            <w:tcW w:w="300" w:type="dxa"/>
            <w:vAlign w:val="bottom"/>
            <w:tcBorders>
              <w:bottom w:val="single" w:sz="8" w:color="auto"/>
            </w:tcBorders>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660" w:type="dxa"/>
            <w:vAlign w:val="bottom"/>
            <w:tcBorders>
              <w:bottom w:val="single" w:sz="8" w:color="auto"/>
            </w:tcBorders>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EAEAEA"/>
              </w:rPr>
              <w:t>670,204</w:t>
            </w:r>
          </w:p>
        </w:tc>
        <w:tc>
          <w:tcPr>
            <w:tcW w:w="20" w:type="dxa"/>
            <w:vAlign w:val="bottom"/>
            <w:tcBorders>
              <w:bottom w:val="single" w:sz="8" w:color="auto"/>
            </w:tcBorders>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340" w:type="dxa"/>
            <w:vAlign w:val="bottom"/>
            <w:tcBorders>
              <w:bottom w:val="single" w:sz="8" w:color="auto"/>
            </w:tcBorders>
            <w:shd w:val="clear" w:color="auto" w:fill="EAEAEA"/>
          </w:tcPr>
          <w:p>
            <w:pPr>
              <w:spacing w:after="0"/>
              <w:rPr>
                <w:sz w:val="18"/>
                <w:szCs w:val="18"/>
                <w:color w:val="auto"/>
              </w:rPr>
            </w:pPr>
          </w:p>
        </w:tc>
        <w:tc>
          <w:tcPr>
            <w:tcW w:w="660" w:type="dxa"/>
            <w:vAlign w:val="bottom"/>
            <w:tcBorders>
              <w:bottom w:val="single" w:sz="8" w:color="auto"/>
            </w:tcBorders>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EAEAEA"/>
              </w:rPr>
              <w:t>756,494</w:t>
            </w:r>
          </w:p>
        </w:tc>
        <w:tc>
          <w:tcPr>
            <w:tcW w:w="20" w:type="dxa"/>
            <w:vAlign w:val="bottom"/>
            <w:tcBorders>
              <w:bottom w:val="single" w:sz="8" w:color="auto"/>
            </w:tcBorders>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80" w:type="dxa"/>
            <w:vAlign w:val="bottom"/>
            <w:tcBorders>
              <w:bottom w:val="single" w:sz="8" w:color="auto"/>
            </w:tcBorders>
            <w:shd w:val="clear" w:color="auto" w:fill="EAEAEA"/>
          </w:tcPr>
          <w:p>
            <w:pPr>
              <w:spacing w:after="0"/>
              <w:rPr>
                <w:sz w:val="18"/>
                <w:szCs w:val="18"/>
                <w:color w:val="auto"/>
              </w:rPr>
            </w:pPr>
          </w:p>
        </w:tc>
        <w:tc>
          <w:tcPr>
            <w:tcW w:w="380" w:type="dxa"/>
            <w:vAlign w:val="bottom"/>
            <w:tcBorders>
              <w:bottom w:val="single" w:sz="8" w:color="auto"/>
            </w:tcBorders>
            <w:shd w:val="clear" w:color="auto" w:fill="EAEAEA"/>
          </w:tcPr>
          <w:p>
            <w:pPr>
              <w:spacing w:after="0"/>
              <w:rPr>
                <w:sz w:val="18"/>
                <w:szCs w:val="18"/>
                <w:color w:val="auto"/>
              </w:rPr>
            </w:pPr>
          </w:p>
        </w:tc>
        <w:tc>
          <w:tcPr>
            <w:tcW w:w="620" w:type="dxa"/>
            <w:vAlign w:val="bottom"/>
            <w:tcBorders>
              <w:bottom w:val="single" w:sz="8" w:color="auto"/>
            </w:tcBorders>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540,228</w:t>
            </w:r>
          </w:p>
        </w:tc>
        <w:tc>
          <w:tcPr>
            <w:tcW w:w="20" w:type="dxa"/>
            <w:vAlign w:val="bottom"/>
            <w:tcBorders>
              <w:bottom w:val="single" w:sz="8" w:color="auto"/>
            </w:tcBorders>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gridSpan w:val="4"/>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Cash flows from investing activities:</w:t>
            </w:r>
          </w:p>
        </w:tc>
        <w:tc>
          <w:tcPr>
            <w:tcW w:w="540" w:type="dxa"/>
            <w:vAlign w:val="bottom"/>
            <w:shd w:val="clear" w:color="auto" w:fill="EAEAEA"/>
          </w:tcPr>
          <w:p>
            <w:pPr>
              <w:spacing w:after="0"/>
              <w:rPr>
                <w:sz w:val="19"/>
                <w:szCs w:val="19"/>
                <w:color w:val="auto"/>
              </w:rPr>
            </w:pP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12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(264,473 )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(342,660 )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(401,730 )</w:t>
            </w:r>
          </w:p>
        </w:tc>
        <w:tc>
          <w:tcPr>
            <w:tcW w:w="0" w:type="dxa"/>
            <w:vAlign w:val="bottom"/>
          </w:tcPr>
          <w:p>
            <w:pPr>
              <w:spacing w:after="0"/>
              <w:rPr>
                <w:sz w:val="1"/>
                <w:szCs w:val="1"/>
                <w:color w:val="auto"/>
              </w:rPr>
            </w:pPr>
          </w:p>
        </w:tc>
      </w:tr>
      <w:tr>
        <w:trPr>
          <w:trHeight w:val="221"/>
        </w:trPr>
        <w:tc>
          <w:tcPr>
            <w:tcW w:w="6280" w:type="dxa"/>
            <w:vAlign w:val="bottom"/>
            <w:gridSpan w:val="6"/>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Acquisitions of businesses and marine equipment</w:t>
            </w: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64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EAEAEA"/>
              </w:rPr>
              <w:t>(115,716</w:t>
            </w:r>
          </w:p>
        </w:tc>
        <w:tc>
          <w:tcPr>
            <w:tcW w:w="20" w:type="dxa"/>
            <w:vAlign w:val="bottom"/>
            <w:shd w:val="clear" w:color="auto" w:fill="EAEAEA"/>
          </w:tcPr>
          <w:p>
            <w:pPr>
              <w:spacing w:after="0"/>
              <w:rPr>
                <w:sz w:val="19"/>
                <w:szCs w:val="19"/>
                <w:color w:val="auto"/>
              </w:rPr>
            </w:pP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4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(77,863</w:t>
            </w:r>
          </w:p>
        </w:tc>
        <w:tc>
          <w:tcPr>
            <w:tcW w:w="20" w:type="dxa"/>
            <w:vAlign w:val="bottom"/>
            <w:shd w:val="clear" w:color="auto" w:fill="EAEAEA"/>
          </w:tcPr>
          <w:p>
            <w:pPr>
              <w:spacing w:after="0"/>
              <w:rPr>
                <w:sz w:val="19"/>
                <w:szCs w:val="19"/>
                <w:color w:val="auto"/>
              </w:rPr>
            </w:pP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62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(37,500</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26,081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Borders>
              <w:bottom w:val="single" w:sz="8" w:color="EAEAEA"/>
            </w:tcBorders>
            <w:shd w:val="clear" w:color="auto" w:fill="EAEAEA"/>
          </w:tcPr>
          <w:p>
            <w:pPr>
              <w:spacing w:after="0"/>
              <w:rPr>
                <w:sz w:val="19"/>
                <w:szCs w:val="19"/>
                <w:color w:val="auto"/>
              </w:rPr>
            </w:pPr>
          </w:p>
        </w:tc>
        <w:tc>
          <w:tcPr>
            <w:tcW w:w="2800" w:type="dxa"/>
            <w:vAlign w:val="bottom"/>
            <w:tcBorders>
              <w:bottom w:val="single" w:sz="8" w:color="EAEAEA"/>
            </w:tcBorders>
            <w:gridSpan w:val="3"/>
            <w:shd w:val="clear" w:color="auto" w:fill="EAEAEA"/>
          </w:tcPr>
          <w:p>
            <w:pPr>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Other</w:t>
            </w:r>
          </w:p>
        </w:tc>
        <w:tc>
          <w:tcPr>
            <w:tcW w:w="540" w:type="dxa"/>
            <w:vAlign w:val="bottom"/>
            <w:tcBorders>
              <w:bottom w:val="single" w:sz="8" w:color="EAEAEA"/>
            </w:tcBorders>
            <w:shd w:val="clear" w:color="auto" w:fill="EAEAEA"/>
          </w:tcPr>
          <w:p>
            <w:pPr>
              <w:spacing w:after="0"/>
              <w:rPr>
                <w:sz w:val="19"/>
                <w:szCs w:val="19"/>
                <w:color w:val="auto"/>
              </w:rPr>
            </w:pPr>
          </w:p>
        </w:tc>
        <w:tc>
          <w:tcPr>
            <w:tcW w:w="274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480" w:type="dxa"/>
            <w:vAlign w:val="bottom"/>
            <w:tcBorders>
              <w:bottom w:val="single" w:sz="8" w:color="EAEAEA"/>
            </w:tcBorders>
            <w:gridSpan w:val="2"/>
            <w:shd w:val="clear" w:color="auto" w:fill="EAEAEA"/>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w w:val="94"/>
                <w:shd w:val="clear" w:color="auto" w:fill="EAEAEA"/>
              </w:rPr>
              <w:t>(3,000</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38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60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vMerge w:val="restart"/>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vMerge w:val="restart"/>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vMerge w:val="restart"/>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0" w:type="dxa"/>
            <w:vAlign w:val="bottom"/>
            <w:tcBorders>
              <w:bottom w:val="single" w:sz="8" w:color="EAEAEA"/>
            </w:tcBorders>
          </w:tcPr>
          <w:p>
            <w:pPr>
              <w:spacing w:after="0"/>
              <w:rPr>
                <w:sz w:val="14"/>
                <w:szCs w:val="14"/>
                <w:color w:val="auto"/>
              </w:rPr>
            </w:pPr>
          </w:p>
        </w:tc>
        <w:tc>
          <w:tcPr>
            <w:tcW w:w="6080" w:type="dxa"/>
            <w:vAlign w:val="bottom"/>
            <w:tcBorders>
              <w:bottom w:val="single" w:sz="8" w:color="EAEAEA"/>
            </w:tcBorders>
            <w:gridSpan w:val="5"/>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gridSpan w:val="4"/>
          </w:tcPr>
          <w:p>
            <w:pPr>
              <w:jc w:val="right"/>
              <w:ind w:right="20"/>
              <w:spacing w:after="0" w:line="163" w:lineRule="exact"/>
              <w:rPr>
                <w:sz w:val="20"/>
                <w:szCs w:val="20"/>
                <w:color w:val="auto"/>
              </w:rPr>
            </w:pPr>
            <w:r>
              <w:rPr>
                <w:rFonts w:ascii="Times New Roman" w:cs="Times New Roman" w:eastAsia="Times New Roman" w:hAnsi="Times New Roman"/>
                <w:sz w:val="18"/>
                <w:szCs w:val="18"/>
                <w:color w:val="auto"/>
                <w:highlight w:val="white"/>
                <w:w w:val="96"/>
              </w:rPr>
              <w:t>(352,180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EAEAEA"/>
            </w:tcBorders>
            <w:vMerge w:val="continue"/>
          </w:tcPr>
          <w:p>
            <w:pPr>
              <w:spacing w:after="0"/>
              <w:rPr>
                <w:sz w:val="14"/>
                <w:szCs w:val="14"/>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tcBorders>
              <w:bottom w:val="single" w:sz="8" w:color="EAEAEA"/>
            </w:tcBorders>
            <w:vMerge w:val="continue"/>
          </w:tcPr>
          <w:p>
            <w:pPr>
              <w:spacing w:after="0"/>
              <w:rPr>
                <w:sz w:val="14"/>
                <w:szCs w:val="14"/>
                <w:color w:val="auto"/>
              </w:rPr>
            </w:pPr>
          </w:p>
        </w:tc>
        <w:tc>
          <w:tcPr>
            <w:tcW w:w="20" w:type="dxa"/>
            <w:vAlign w:val="bottom"/>
            <w:tcBorders>
              <w:bottom w:val="single" w:sz="8" w:color="EAEAEA"/>
            </w:tcBorders>
          </w:tcPr>
          <w:p>
            <w:pPr>
              <w:spacing w:after="0"/>
              <w:rPr>
                <w:sz w:val="14"/>
                <w:szCs w:val="14"/>
                <w:color w:val="auto"/>
              </w:rPr>
            </w:pPr>
          </w:p>
        </w:tc>
        <w:tc>
          <w:tcPr>
            <w:tcW w:w="120" w:type="dxa"/>
            <w:vAlign w:val="bottom"/>
            <w:tcBorders>
              <w:bottom w:val="single" w:sz="8" w:color="EAEAE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gridSpan w:val="3"/>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96"/>
              </w:rPr>
              <w:t>(400,127</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EAEAEA"/>
            </w:tcBorders>
            <w:vMerge w:val="continue"/>
          </w:tcPr>
          <w:p>
            <w:pPr>
              <w:spacing w:after="0"/>
              <w:rPr>
                <w:sz w:val="14"/>
                <w:szCs w:val="14"/>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40" w:type="dxa"/>
            <w:vAlign w:val="bottom"/>
            <w:tcBorders>
              <w:bottom w:val="single" w:sz="8" w:color="EAEAEA"/>
            </w:tcBorders>
          </w:tcPr>
          <w:p>
            <w:pPr>
              <w:spacing w:after="0"/>
              <w:rPr>
                <w:sz w:val="14"/>
                <w:szCs w:val="14"/>
                <w:color w:val="auto"/>
              </w:rPr>
            </w:pPr>
          </w:p>
        </w:tc>
        <w:tc>
          <w:tcPr>
            <w:tcW w:w="20" w:type="dxa"/>
            <w:vAlign w:val="bottom"/>
            <w:tcBorders>
              <w:bottom w:val="single" w:sz="8" w:color="EAEAEA"/>
            </w:tcBorders>
          </w:tcPr>
          <w:p>
            <w:pPr>
              <w:spacing w:after="0"/>
              <w:rPr>
                <w:sz w:val="14"/>
                <w:szCs w:val="14"/>
                <w:color w:val="auto"/>
              </w:rPr>
            </w:pPr>
          </w:p>
        </w:tc>
        <w:tc>
          <w:tcPr>
            <w:tcW w:w="140" w:type="dxa"/>
            <w:vAlign w:val="bottom"/>
            <w:tcBorders>
              <w:bottom w:val="single" w:sz="8" w:color="EAEAEA"/>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gridSpan w:val="3"/>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92"/>
              </w:rPr>
              <w:t>(413,149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EAEAEA"/>
            </w:tcBorders>
            <w:vMerge w:val="continue"/>
          </w:tcPr>
          <w:p>
            <w:pPr>
              <w:spacing w:after="0"/>
              <w:rPr>
                <w:sz w:val="14"/>
                <w:szCs w:val="14"/>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Borders>
              <w:bottom w:val="single" w:sz="8" w:color="EAEAE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24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274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4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gridSpan w:val="6"/>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Borrowings (payments) on bank credit facilities, net</w:t>
            </w:r>
          </w:p>
        </w:tc>
        <w:tc>
          <w:tcPr>
            <w:tcW w:w="300" w:type="dxa"/>
            <w:vAlign w:val="bottom"/>
            <w:shd w:val="clear" w:color="auto" w:fill="EAEAEA"/>
          </w:tcPr>
          <w:p>
            <w:pPr>
              <w:spacing w:after="0"/>
              <w:rPr>
                <w:sz w:val="19"/>
                <w:szCs w:val="19"/>
                <w:color w:val="auto"/>
              </w:rPr>
            </w:pPr>
          </w:p>
        </w:tc>
        <w:tc>
          <w:tcPr>
            <w:tcW w:w="500" w:type="dxa"/>
            <w:vAlign w:val="bottom"/>
            <w:gridSpan w:val="2"/>
            <w:shd w:val="clear" w:color="auto" w:fill="EAEAEA"/>
          </w:tcPr>
          <w:p>
            <w:pPr>
              <w:spacing w:after="0"/>
              <w:rPr>
                <w:sz w:val="19"/>
                <w:szCs w:val="19"/>
                <w:color w:val="auto"/>
              </w:rPr>
            </w:pPr>
          </w:p>
        </w:tc>
        <w:tc>
          <w:tcPr>
            <w:tcW w:w="5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44,131</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4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(43,842</w:t>
            </w:r>
          </w:p>
        </w:tc>
        <w:tc>
          <w:tcPr>
            <w:tcW w:w="20" w:type="dxa"/>
            <w:vAlign w:val="bottom"/>
            <w:shd w:val="clear" w:color="auto" w:fill="EAEAEA"/>
          </w:tcPr>
          <w:p>
            <w:pPr>
              <w:spacing w:after="0"/>
              <w:rPr>
                <w:sz w:val="19"/>
                <w:szCs w:val="19"/>
                <w:color w:val="auto"/>
              </w:rPr>
            </w:pP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520" w:type="dxa"/>
            <w:vAlign w:val="bottom"/>
            <w:gridSpan w:val="2"/>
            <w:shd w:val="clear" w:color="auto" w:fill="EAEAEA"/>
          </w:tcPr>
          <w:p>
            <w:pPr>
              <w:spacing w:after="0"/>
              <w:rPr>
                <w:sz w:val="19"/>
                <w:szCs w:val="19"/>
                <w:color w:val="auto"/>
              </w:rPr>
            </w:pPr>
          </w:p>
        </w:tc>
        <w:tc>
          <w:tcPr>
            <w:tcW w:w="4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48,776</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Borrowings on long-term debt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gridSpan w:val="4"/>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Payments on long-term debt</w:t>
            </w:r>
          </w:p>
        </w:tc>
        <w:tc>
          <w:tcPr>
            <w:tcW w:w="540" w:type="dxa"/>
            <w:vAlign w:val="bottom"/>
            <w:shd w:val="clear" w:color="auto" w:fill="EAEAEA"/>
          </w:tcPr>
          <w:p>
            <w:pPr>
              <w:spacing w:after="0"/>
              <w:rPr>
                <w:sz w:val="19"/>
                <w:szCs w:val="19"/>
                <w:color w:val="auto"/>
              </w:rPr>
            </w:pP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60" w:type="dxa"/>
            <w:vAlign w:val="bottom"/>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w w:val="96"/>
                <w:shd w:val="clear" w:color="auto" w:fill="EAEAEA"/>
              </w:rPr>
              <w:t>(100,000</w:t>
            </w: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62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(350,000</w:t>
            </w:r>
          </w:p>
        </w:tc>
        <w:tc>
          <w:tcPr>
            <w:tcW w:w="40" w:type="dxa"/>
            <w:vAlign w:val="bottom"/>
            <w:gridSpan w:val="2"/>
            <w:shd w:val="clear" w:color="auto" w:fill="EAEAEA"/>
          </w:tcPr>
          <w:p>
            <w:pPr>
              <w:spacing w:after="0"/>
              <w:rPr>
                <w:sz w:val="19"/>
                <w:szCs w:val="19"/>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Payment of debt issue costs</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(1,254 )</w:t>
            </w:r>
          </w:p>
        </w:tc>
        <w:tc>
          <w:tcPr>
            <w:tcW w:w="0" w:type="dxa"/>
            <w:vAlign w:val="bottom"/>
          </w:tcPr>
          <w:p>
            <w:pPr>
              <w:spacing w:after="0"/>
              <w:rPr>
                <w:sz w:val="1"/>
                <w:szCs w:val="1"/>
                <w:color w:val="auto"/>
              </w:rPr>
            </w:pPr>
          </w:p>
        </w:tc>
      </w:tr>
      <w:tr>
        <w:trPr>
          <w:trHeight w:val="221"/>
        </w:trPr>
        <w:tc>
          <w:tcPr>
            <w:tcW w:w="3540" w:type="dxa"/>
            <w:vAlign w:val="bottom"/>
            <w:gridSpan w:val="5"/>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Proceeds from exercise of stock options</w:t>
            </w: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500" w:type="dxa"/>
            <w:vAlign w:val="bottom"/>
            <w:gridSpan w:val="2"/>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4,946</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500" w:type="dxa"/>
            <w:vAlign w:val="bottom"/>
            <w:gridSpan w:val="2"/>
            <w:shd w:val="clear" w:color="auto" w:fill="EAEAEA"/>
          </w:tcPr>
          <w:p>
            <w:pPr>
              <w:spacing w:after="0"/>
              <w:rPr>
                <w:sz w:val="19"/>
                <w:szCs w:val="19"/>
                <w:color w:val="auto"/>
              </w:rPr>
            </w:pPr>
          </w:p>
        </w:tc>
        <w:tc>
          <w:tcPr>
            <w:tcW w:w="4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9,417</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520" w:type="dxa"/>
            <w:vAlign w:val="bottom"/>
            <w:gridSpan w:val="2"/>
            <w:shd w:val="clear" w:color="auto" w:fill="EAEAEA"/>
          </w:tcPr>
          <w:p>
            <w:pPr>
              <w:spacing w:after="0"/>
              <w:rPr>
                <w:sz w:val="19"/>
                <w:szCs w:val="19"/>
                <w:color w:val="auto"/>
              </w:rPr>
            </w:pPr>
          </w:p>
        </w:tc>
        <w:tc>
          <w:tcPr>
            <w:tcW w:w="4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4,209</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300" w:type="dxa"/>
            <w:vAlign w:val="bottom"/>
          </w:tcPr>
          <w:p>
            <w:pPr>
              <w:spacing w:after="0"/>
              <w:rPr>
                <w:sz w:val="19"/>
                <w:szCs w:val="19"/>
                <w:color w:val="auto"/>
              </w:rPr>
            </w:pPr>
          </w:p>
        </w:tc>
        <w:tc>
          <w:tcPr>
            <w:tcW w:w="112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(5,981)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21"/>
        </w:trPr>
        <w:tc>
          <w:tcPr>
            <w:tcW w:w="3000" w:type="dxa"/>
            <w:vAlign w:val="bottom"/>
            <w:gridSpan w:val="4"/>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Treasury stock purchases</w:t>
            </w:r>
          </w:p>
        </w:tc>
        <w:tc>
          <w:tcPr>
            <w:tcW w:w="540" w:type="dxa"/>
            <w:vAlign w:val="bottom"/>
            <w:shd w:val="clear" w:color="auto" w:fill="EAEAEA"/>
          </w:tcPr>
          <w:p>
            <w:pPr>
              <w:spacing w:after="0"/>
              <w:rPr>
                <w:sz w:val="19"/>
                <w:szCs w:val="19"/>
                <w:color w:val="auto"/>
              </w:rPr>
            </w:pPr>
          </w:p>
        </w:tc>
        <w:tc>
          <w:tcPr>
            <w:tcW w:w="274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64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EAEAEA"/>
              </w:rPr>
              <w:t>(354,199</w:t>
            </w:r>
          </w:p>
        </w:tc>
        <w:tc>
          <w:tcPr>
            <w:tcW w:w="60" w:type="dxa"/>
            <w:vAlign w:val="bottom"/>
            <w:gridSpan w:val="3"/>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60" w:type="dxa"/>
            <w:vAlign w:val="bottom"/>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w w:val="96"/>
                <w:shd w:val="clear" w:color="auto" w:fill="EAEAEA"/>
              </w:rPr>
              <w:t>(174,574</w:t>
            </w: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62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(112,803</w:t>
            </w:r>
          </w:p>
        </w:tc>
        <w:tc>
          <w:tcPr>
            <w:tcW w:w="40" w:type="dxa"/>
            <w:vAlign w:val="bottom"/>
            <w:gridSpan w:val="2"/>
            <w:shd w:val="clear" w:color="auto" w:fill="EAEAEA"/>
          </w:tcPr>
          <w:p>
            <w:pPr>
              <w:spacing w:after="0"/>
              <w:rPr>
                <w:sz w:val="19"/>
                <w:szCs w:val="19"/>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6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4"/>
                <w:szCs w:val="4"/>
                <w:color w:val="auto"/>
              </w:rPr>
            </w:pPr>
          </w:p>
        </w:tc>
        <w:tc>
          <w:tcPr>
            <w:tcW w:w="500" w:type="dxa"/>
            <w:vAlign w:val="bottom"/>
            <w:gridSpan w:val="2"/>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gridSpan w:val="2"/>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340" w:type="dxa"/>
            <w:vAlign w:val="bottom"/>
            <w:gridSpan w:val="2"/>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gridSpan w:val="2"/>
            <w:vMerge w:val="restart"/>
          </w:tcPr>
          <w:p>
            <w:pPr>
              <w:spacing w:after="0"/>
              <w:rPr>
                <w:sz w:val="4"/>
                <w:szCs w:val="4"/>
                <w:color w:val="auto"/>
              </w:rPr>
            </w:pPr>
          </w:p>
        </w:tc>
        <w:tc>
          <w:tcPr>
            <w:tcW w:w="26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60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80" w:type="dxa"/>
            <w:vAlign w:val="bottom"/>
            <w:gridSpan w:val="2"/>
          </w:tcPr>
          <w:p>
            <w:pPr>
              <w:jc w:val="right"/>
              <w:ind w:right="20"/>
              <w:spacing w:after="0" w:line="163" w:lineRule="exact"/>
              <w:rPr>
                <w:sz w:val="20"/>
                <w:szCs w:val="20"/>
                <w:color w:val="auto"/>
              </w:rPr>
            </w:pPr>
            <w:r>
              <w:rPr>
                <w:rFonts w:ascii="Times New Roman" w:cs="Times New Roman" w:eastAsia="Times New Roman" w:hAnsi="Times New Roman"/>
                <w:sz w:val="18"/>
                <w:szCs w:val="18"/>
                <w:color w:val="auto"/>
                <w:highlight w:val="white"/>
                <w:w w:val="94"/>
              </w:rPr>
              <w:t>(2,590</w:t>
            </w:r>
          </w:p>
        </w:tc>
        <w:tc>
          <w:tcPr>
            <w:tcW w:w="40" w:type="dxa"/>
            <w:vAlign w:val="bottom"/>
            <w:gridSpan w:val="2"/>
            <w:vMerge w:val="continue"/>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gridSpan w:val="2"/>
          </w:tcPr>
          <w:p>
            <w:pPr>
              <w:jc w:val="right"/>
              <w:ind w:right="20"/>
              <w:spacing w:after="0" w:line="163" w:lineRule="exact"/>
              <w:rPr>
                <w:sz w:val="20"/>
                <w:szCs w:val="20"/>
                <w:color w:val="auto"/>
              </w:rPr>
            </w:pPr>
            <w:r>
              <w:rPr>
                <w:rFonts w:ascii="Times New Roman" w:cs="Times New Roman" w:eastAsia="Times New Roman" w:hAnsi="Times New Roman"/>
                <w:sz w:val="18"/>
                <w:szCs w:val="18"/>
                <w:color w:val="auto"/>
                <w:highlight w:val="white"/>
                <w:w w:val="90"/>
              </w:rPr>
              <w:t>(100</w:t>
            </w:r>
          </w:p>
        </w:tc>
        <w:tc>
          <w:tcPr>
            <w:tcW w:w="40" w:type="dxa"/>
            <w:vAlign w:val="bottom"/>
            <w:gridSpan w:val="2"/>
            <w:vMerge w:val="continue"/>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83"/>
              </w:rPr>
              <w:t>(99</w:t>
            </w:r>
          </w:p>
        </w:tc>
        <w:tc>
          <w:tcPr>
            <w:tcW w:w="40" w:type="dxa"/>
            <w:vAlign w:val="bottom"/>
            <w:gridSpan w:val="2"/>
            <w:vMerge w:val="continue"/>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top w:val="single" w:sz="8" w:color="EAEAEA"/>
            </w:tcBorders>
            <w:shd w:val="clear" w:color="auto" w:fill="EAEAEA"/>
          </w:tcPr>
          <w:p>
            <w:pPr>
              <w:spacing w:after="0"/>
              <w:rPr>
                <w:sz w:val="18"/>
                <w:szCs w:val="18"/>
                <w:color w:val="auto"/>
              </w:rPr>
            </w:pPr>
          </w:p>
        </w:tc>
        <w:tc>
          <w:tcPr>
            <w:tcW w:w="2800" w:type="dxa"/>
            <w:vAlign w:val="bottom"/>
            <w:tcBorders>
              <w:top w:val="single" w:sz="8" w:color="EAEAEA"/>
            </w:tcBorders>
            <w:gridSpan w:val="3"/>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w w:val="99"/>
                <w:shd w:val="clear" w:color="auto" w:fill="EAEAEA"/>
              </w:rPr>
              <w:t>Net cash used in financing activities</w:t>
            </w:r>
          </w:p>
        </w:tc>
        <w:tc>
          <w:tcPr>
            <w:tcW w:w="540" w:type="dxa"/>
            <w:vAlign w:val="bottom"/>
            <w:tcBorders>
              <w:top w:val="single" w:sz="8" w:color="EAEAEA"/>
            </w:tcBorders>
            <w:shd w:val="clear" w:color="auto" w:fill="EAEAEA"/>
          </w:tcPr>
          <w:p>
            <w:pPr>
              <w:spacing w:after="0"/>
              <w:rPr>
                <w:sz w:val="18"/>
                <w:szCs w:val="18"/>
                <w:color w:val="auto"/>
              </w:rPr>
            </w:pPr>
          </w:p>
        </w:tc>
        <w:tc>
          <w:tcPr>
            <w:tcW w:w="2740" w:type="dxa"/>
            <w:vAlign w:val="bottom"/>
            <w:tcBorders>
              <w:top w:val="single" w:sz="8" w:color="EAEAEA"/>
            </w:tcBorders>
            <w:shd w:val="clear" w:color="auto" w:fill="EAEAEA"/>
          </w:tcPr>
          <w:p>
            <w:pPr>
              <w:spacing w:after="0"/>
              <w:rPr>
                <w:sz w:val="18"/>
                <w:szCs w:val="18"/>
                <w:color w:val="auto"/>
              </w:rPr>
            </w:pPr>
          </w:p>
        </w:tc>
        <w:tc>
          <w:tcPr>
            <w:tcW w:w="300" w:type="dxa"/>
            <w:vAlign w:val="bottom"/>
            <w:tcBorders>
              <w:top w:val="single" w:sz="8" w:color="auto"/>
              <w:bottom w:val="single" w:sz="8" w:color="auto"/>
            </w:tcBorders>
            <w:shd w:val="clear" w:color="auto" w:fill="EAEAEA"/>
          </w:tcPr>
          <w:p>
            <w:pPr>
              <w:spacing w:after="0"/>
              <w:rPr>
                <w:sz w:val="18"/>
                <w:szCs w:val="18"/>
                <w:color w:val="auto"/>
              </w:rPr>
            </w:pPr>
          </w:p>
        </w:tc>
        <w:tc>
          <w:tcPr>
            <w:tcW w:w="360" w:type="dxa"/>
            <w:vAlign w:val="bottom"/>
            <w:tcBorders>
              <w:top w:val="single" w:sz="8" w:color="auto"/>
              <w:bottom w:val="single" w:sz="8" w:color="auto"/>
            </w:tcBorders>
            <w:shd w:val="clear" w:color="auto" w:fill="EAEAEA"/>
          </w:tcPr>
          <w:p>
            <w:pPr>
              <w:spacing w:after="0"/>
              <w:rPr>
                <w:sz w:val="18"/>
                <w:szCs w:val="18"/>
                <w:color w:val="auto"/>
              </w:rPr>
            </w:pPr>
          </w:p>
        </w:tc>
        <w:tc>
          <w:tcPr>
            <w:tcW w:w="640" w:type="dxa"/>
            <w:vAlign w:val="bottom"/>
            <w:tcBorders>
              <w:top w:val="single" w:sz="8" w:color="auto"/>
              <w:bottom w:val="single" w:sz="8" w:color="auto"/>
            </w:tcBorders>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(313,693</w:t>
            </w:r>
          </w:p>
        </w:tc>
        <w:tc>
          <w:tcPr>
            <w:tcW w:w="20" w:type="dxa"/>
            <w:vAlign w:val="bottom"/>
            <w:tcBorders>
              <w:top w:val="single" w:sz="8" w:color="auto"/>
              <w:bottom w:val="single" w:sz="8" w:color="auto"/>
            </w:tcBorders>
            <w:shd w:val="clear" w:color="auto" w:fill="EAEAEA"/>
          </w:tcPr>
          <w:p>
            <w:pPr>
              <w:spacing w:after="0"/>
              <w:rPr>
                <w:sz w:val="18"/>
                <w:szCs w:val="18"/>
                <w:color w:val="auto"/>
              </w:rPr>
            </w:pPr>
          </w:p>
        </w:tc>
        <w:tc>
          <w:tcPr>
            <w:tcW w:w="20" w:type="dxa"/>
            <w:vAlign w:val="bottom"/>
            <w:tcBorders>
              <w:top w:val="single" w:sz="8" w:color="auto"/>
              <w:bottom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EAEAEA"/>
            </w:tcBorders>
            <w:shd w:val="clear" w:color="auto" w:fill="EAEAEA"/>
          </w:tcPr>
          <w:p>
            <w:pPr>
              <w:spacing w:after="0"/>
              <w:rPr>
                <w:sz w:val="18"/>
                <w:szCs w:val="18"/>
                <w:color w:val="auto"/>
              </w:rPr>
            </w:pPr>
          </w:p>
        </w:tc>
        <w:tc>
          <w:tcPr>
            <w:tcW w:w="320" w:type="dxa"/>
            <w:vAlign w:val="bottom"/>
            <w:tcBorders>
              <w:top w:val="single" w:sz="8" w:color="auto"/>
              <w:bottom w:val="single" w:sz="8" w:color="auto"/>
            </w:tcBorders>
            <w:shd w:val="clear" w:color="auto" w:fill="EAEAEA"/>
          </w:tcPr>
          <w:p>
            <w:pPr>
              <w:spacing w:after="0"/>
              <w:rPr>
                <w:sz w:val="18"/>
                <w:szCs w:val="18"/>
                <w:color w:val="auto"/>
              </w:rPr>
            </w:pPr>
          </w:p>
        </w:tc>
        <w:tc>
          <w:tcPr>
            <w:tcW w:w="340" w:type="dxa"/>
            <w:vAlign w:val="bottom"/>
            <w:tcBorders>
              <w:top w:val="single" w:sz="8" w:color="auto"/>
              <w:bottom w:val="single" w:sz="8" w:color="auto"/>
            </w:tcBorders>
            <w:shd w:val="clear" w:color="auto" w:fill="EAEAEA"/>
          </w:tcPr>
          <w:p>
            <w:pPr>
              <w:spacing w:after="0"/>
              <w:rPr>
                <w:sz w:val="18"/>
                <w:szCs w:val="18"/>
                <w:color w:val="auto"/>
              </w:rPr>
            </w:pPr>
          </w:p>
        </w:tc>
        <w:tc>
          <w:tcPr>
            <w:tcW w:w="640" w:type="dxa"/>
            <w:vAlign w:val="bottom"/>
            <w:tcBorders>
              <w:top w:val="single" w:sz="8" w:color="auto"/>
              <w:bottom w:val="single" w:sz="8" w:color="auto"/>
            </w:tcBorders>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EAEAEA"/>
              </w:rPr>
              <w:t>(314,500</w:t>
            </w:r>
          </w:p>
        </w:tc>
        <w:tc>
          <w:tcPr>
            <w:tcW w:w="20" w:type="dxa"/>
            <w:vAlign w:val="bottom"/>
            <w:tcBorders>
              <w:top w:val="single" w:sz="8" w:color="auto"/>
              <w:bottom w:val="single" w:sz="8" w:color="auto"/>
            </w:tcBorders>
            <w:shd w:val="clear" w:color="auto" w:fill="EAEAEA"/>
          </w:tcPr>
          <w:p>
            <w:pPr>
              <w:spacing w:after="0"/>
              <w:rPr>
                <w:sz w:val="18"/>
                <w:szCs w:val="18"/>
                <w:color w:val="auto"/>
              </w:rPr>
            </w:pPr>
          </w:p>
        </w:tc>
        <w:tc>
          <w:tcPr>
            <w:tcW w:w="20" w:type="dxa"/>
            <w:vAlign w:val="bottom"/>
            <w:tcBorders>
              <w:top w:val="single" w:sz="8" w:color="auto"/>
              <w:bottom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140" w:type="dxa"/>
            <w:vAlign w:val="bottom"/>
            <w:tcBorders>
              <w:top w:val="single" w:sz="8" w:color="EAEAEA"/>
            </w:tcBorders>
            <w:shd w:val="clear" w:color="auto" w:fill="EAEAEA"/>
          </w:tcPr>
          <w:p>
            <w:pPr>
              <w:spacing w:after="0"/>
              <w:rPr>
                <w:sz w:val="18"/>
                <w:szCs w:val="18"/>
                <w:color w:val="auto"/>
              </w:rPr>
            </w:pPr>
          </w:p>
        </w:tc>
        <w:tc>
          <w:tcPr>
            <w:tcW w:w="280" w:type="dxa"/>
            <w:vAlign w:val="bottom"/>
            <w:tcBorders>
              <w:top w:val="single" w:sz="8" w:color="auto"/>
              <w:bottom w:val="single" w:sz="8" w:color="auto"/>
            </w:tcBorders>
            <w:shd w:val="clear" w:color="auto" w:fill="EAEAEA"/>
          </w:tcPr>
          <w:p>
            <w:pPr>
              <w:spacing w:after="0"/>
              <w:rPr>
                <w:sz w:val="18"/>
                <w:szCs w:val="18"/>
                <w:color w:val="auto"/>
              </w:rPr>
            </w:pPr>
          </w:p>
        </w:tc>
        <w:tc>
          <w:tcPr>
            <w:tcW w:w="380" w:type="dxa"/>
            <w:vAlign w:val="bottom"/>
            <w:tcBorders>
              <w:top w:val="single" w:sz="8" w:color="auto"/>
              <w:bottom w:val="single" w:sz="8" w:color="auto"/>
            </w:tcBorders>
            <w:shd w:val="clear" w:color="auto" w:fill="EAEAEA"/>
          </w:tcPr>
          <w:p>
            <w:pPr>
              <w:spacing w:after="0"/>
              <w:rPr>
                <w:sz w:val="18"/>
                <w:szCs w:val="18"/>
                <w:color w:val="auto"/>
              </w:rPr>
            </w:pPr>
          </w:p>
        </w:tc>
        <w:tc>
          <w:tcPr>
            <w:tcW w:w="620" w:type="dxa"/>
            <w:vAlign w:val="bottom"/>
            <w:tcBorders>
              <w:top w:val="single" w:sz="8" w:color="auto"/>
              <w:bottom w:val="single" w:sz="8" w:color="auto"/>
            </w:tcBorders>
            <w:gridSpan w:val="3"/>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(175,079</w:t>
            </w:r>
          </w:p>
        </w:tc>
        <w:tc>
          <w:tcPr>
            <w:tcW w:w="20" w:type="dxa"/>
            <w:vAlign w:val="bottom"/>
            <w:tcBorders>
              <w:top w:val="single" w:sz="8" w:color="auto"/>
              <w:bottom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40" w:type="dxa"/>
            <w:vAlign w:val="bottom"/>
            <w:tcBorders>
              <w:top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tcBorders>
              <w:top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tcPr>
          <w:p>
            <w:pPr>
              <w:spacing w:after="0"/>
              <w:rPr>
                <w:sz w:val="18"/>
                <w:szCs w:val="18"/>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4,331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41,867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0" w:type="dxa"/>
            <w:vAlign w:val="bottom"/>
          </w:tcPr>
          <w:p>
            <w:pPr>
              <w:spacing w:after="0"/>
              <w:rPr>
                <w:sz w:val="18"/>
                <w:szCs w:val="18"/>
                <w:color w:val="auto"/>
              </w:rPr>
            </w:pPr>
          </w:p>
        </w:tc>
        <w:tc>
          <w:tcPr>
            <w:tcW w:w="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EAEAEA"/>
            </w:tcBorders>
            <w:gridSpan w:val="5"/>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Cash and cash equivalents, beginning of year</w:t>
            </w:r>
          </w:p>
        </w:tc>
        <w:tc>
          <w:tcPr>
            <w:tcW w:w="274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EAEAEA"/>
            </w:tcBorders>
            <w:shd w:val="clear" w:color="auto" w:fill="EAEAEA"/>
          </w:tcPr>
          <w:p>
            <w:pPr>
              <w:spacing w:after="0"/>
              <w:rPr>
                <w:sz w:val="20"/>
                <w:szCs w:val="20"/>
                <w:color w:val="auto"/>
              </w:rPr>
            </w:pPr>
          </w:p>
        </w:tc>
        <w:tc>
          <w:tcPr>
            <w:tcW w:w="500" w:type="dxa"/>
            <w:vAlign w:val="bottom"/>
            <w:tcBorders>
              <w:bottom w:val="single" w:sz="8" w:color="EAEAEA"/>
            </w:tcBorders>
            <w:gridSpan w:val="2"/>
            <w:shd w:val="clear" w:color="auto" w:fill="EAEAEA"/>
          </w:tcPr>
          <w:p>
            <w:pPr>
              <w:spacing w:after="0"/>
              <w:rPr>
                <w:sz w:val="20"/>
                <w:szCs w:val="20"/>
                <w:color w:val="auto"/>
              </w:rPr>
            </w:pPr>
          </w:p>
        </w:tc>
        <w:tc>
          <w:tcPr>
            <w:tcW w:w="520" w:type="dxa"/>
            <w:vAlign w:val="bottom"/>
            <w:tcBorders>
              <w:bottom w:val="single" w:sz="8" w:color="EAEAEA"/>
            </w:tcBorders>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w w:val="96"/>
                <w:shd w:val="clear" w:color="auto" w:fill="EAEAEA"/>
              </w:rPr>
              <w:t>74,444</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EAEAEA"/>
            </w:tcBorders>
            <w:shd w:val="clear" w:color="auto" w:fill="EAEAEA"/>
          </w:tcPr>
          <w:p>
            <w:pPr>
              <w:spacing w:after="0"/>
              <w:rPr>
                <w:sz w:val="20"/>
                <w:szCs w:val="20"/>
                <w:color w:val="auto"/>
              </w:rPr>
            </w:pPr>
          </w:p>
        </w:tc>
        <w:tc>
          <w:tcPr>
            <w:tcW w:w="500" w:type="dxa"/>
            <w:vAlign w:val="bottom"/>
            <w:tcBorders>
              <w:bottom w:val="single" w:sz="8" w:color="EAEAEA"/>
            </w:tcBorders>
            <w:gridSpan w:val="2"/>
            <w:shd w:val="clear" w:color="auto" w:fill="EAEAEA"/>
          </w:tcPr>
          <w:p>
            <w:pPr>
              <w:spacing w:after="0"/>
              <w:rPr>
                <w:sz w:val="20"/>
                <w:szCs w:val="20"/>
                <w:color w:val="auto"/>
              </w:rPr>
            </w:pPr>
          </w:p>
        </w:tc>
        <w:tc>
          <w:tcPr>
            <w:tcW w:w="48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32,577</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280" w:type="dxa"/>
            <w:vAlign w:val="bottom"/>
            <w:tcBorders>
              <w:bottom w:val="single" w:sz="8" w:color="auto"/>
            </w:tcBorders>
            <w:shd w:val="clear" w:color="auto" w:fill="EAEAEA"/>
          </w:tcPr>
          <w:p>
            <w:pPr>
              <w:spacing w:after="0"/>
              <w:rPr>
                <w:sz w:val="20"/>
                <w:szCs w:val="20"/>
                <w:color w:val="auto"/>
              </w:rPr>
            </w:pPr>
          </w:p>
        </w:tc>
        <w:tc>
          <w:tcPr>
            <w:tcW w:w="520" w:type="dxa"/>
            <w:vAlign w:val="bottom"/>
            <w:tcBorders>
              <w:bottom w:val="single" w:sz="8" w:color="auto"/>
            </w:tcBorders>
            <w:gridSpan w:val="2"/>
            <w:shd w:val="clear" w:color="auto" w:fill="EAEAEA"/>
          </w:tcPr>
          <w:p>
            <w:pPr>
              <w:spacing w:after="0"/>
              <w:rPr>
                <w:sz w:val="20"/>
                <w:szCs w:val="20"/>
                <w:color w:val="auto"/>
              </w:rPr>
            </w:pPr>
          </w:p>
        </w:tc>
        <w:tc>
          <w:tcPr>
            <w:tcW w:w="480" w:type="dxa"/>
            <w:vAlign w:val="bottom"/>
            <w:tcBorders>
              <w:bottom w:val="single" w:sz="8" w:color="auto"/>
            </w:tcBorders>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EAEAEA"/>
              </w:rPr>
              <w:t>80,577</w:t>
            </w:r>
          </w:p>
        </w:tc>
        <w:tc>
          <w:tcPr>
            <w:tcW w:w="20" w:type="dxa"/>
            <w:vAlign w:val="bottom"/>
            <w:tcBorders>
              <w:bottom w:val="single" w:sz="8" w:color="auto"/>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80" w:type="dxa"/>
            <w:vAlign w:val="bottom"/>
            <w:tcBorders>
              <w:bottom w:val="single" w:sz="8" w:color="EAEAEA"/>
            </w:tcBorders>
            <w:gridSpan w:val="6"/>
          </w:tcPr>
          <w:p>
            <w:pPr>
              <w:spacing w:after="0" w:line="201" w:lineRule="exact"/>
              <w:rPr>
                <w:sz w:val="20"/>
                <w:szCs w:val="20"/>
                <w:color w:val="auto"/>
              </w:rPr>
            </w:pPr>
            <w:r>
              <w:rPr>
                <w:rFonts w:ascii="Times New Roman" w:cs="Times New Roman" w:eastAsia="Times New Roman" w:hAnsi="Times New Roman"/>
                <w:sz w:val="18"/>
                <w:szCs w:val="18"/>
                <w:color w:val="auto"/>
              </w:rPr>
              <w:t>Cash and cash equivalents, end of year</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78,775</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4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120" w:type="dxa"/>
            <w:vAlign w:val="bottom"/>
            <w:tcBorders>
              <w:bottom w:val="single" w:sz="8" w:color="EAEAEA"/>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5"/>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74,444</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4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140" w:type="dxa"/>
            <w:vAlign w:val="bottom"/>
            <w:tcBorders>
              <w:bottom w:val="single" w:sz="8" w:color="EAEAEA"/>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32,577</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4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2400" w:type="dxa"/>
            <w:vAlign w:val="bottom"/>
            <w:shd w:val="clear" w:color="auto" w:fill="EAEAEA"/>
          </w:tcPr>
          <w:p>
            <w:pPr>
              <w:spacing w:after="0"/>
              <w:rPr>
                <w:sz w:val="17"/>
                <w:szCs w:val="17"/>
                <w:color w:val="auto"/>
              </w:rPr>
            </w:pPr>
          </w:p>
        </w:tc>
        <w:tc>
          <w:tcPr>
            <w:tcW w:w="540" w:type="dxa"/>
            <w:vAlign w:val="bottom"/>
            <w:shd w:val="clear" w:color="auto" w:fill="EAEAEA"/>
          </w:tcPr>
          <w:p>
            <w:pPr>
              <w:spacing w:after="0"/>
              <w:rPr>
                <w:sz w:val="17"/>
                <w:szCs w:val="17"/>
                <w:color w:val="auto"/>
              </w:rPr>
            </w:pPr>
          </w:p>
        </w:tc>
        <w:tc>
          <w:tcPr>
            <w:tcW w:w="2740" w:type="dxa"/>
            <w:vAlign w:val="bottom"/>
            <w:shd w:val="clear" w:color="auto" w:fill="EAEAEA"/>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4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8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shd w:val="clear" w:color="auto" w:fill="EAEAEA"/>
          </w:tcPr>
          <w:p>
            <w:pPr>
              <w:spacing w:after="0"/>
              <w:rPr>
                <w:sz w:val="19"/>
                <w:szCs w:val="19"/>
                <w:color w:val="auto"/>
              </w:rPr>
            </w:pPr>
          </w:p>
        </w:tc>
        <w:tc>
          <w:tcPr>
            <w:tcW w:w="280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Cash paid during the period:</w:t>
            </w:r>
          </w:p>
        </w:tc>
        <w:tc>
          <w:tcPr>
            <w:tcW w:w="3280" w:type="dxa"/>
            <w:vAlign w:val="bottom"/>
            <w:gridSpan w:val="2"/>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46,267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49,059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49,317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5880" w:type="dxa"/>
            <w:vAlign w:val="bottom"/>
            <w:tcBorders>
              <w:bottom w:val="single" w:sz="8" w:color="EAEAEA"/>
            </w:tcBorders>
            <w:gridSpan w:val="4"/>
            <w:shd w:val="clear" w:color="auto" w:fill="EAEAEA"/>
          </w:tcPr>
          <w:p>
            <w:pPr>
              <w:spacing w:after="0" w:line="196" w:lineRule="exact"/>
              <w:rPr>
                <w:sz w:val="20"/>
                <w:szCs w:val="20"/>
                <w:color w:val="auto"/>
              </w:rPr>
            </w:pPr>
            <w:r>
              <w:rPr>
                <w:rFonts w:ascii="Times New Roman" w:cs="Times New Roman" w:eastAsia="Times New Roman" w:hAnsi="Times New Roman"/>
                <w:sz w:val="18"/>
                <w:szCs w:val="18"/>
                <w:color w:val="auto"/>
                <w:shd w:val="clear" w:color="auto" w:fill="EAEAEA"/>
              </w:rPr>
              <w:t>Operating cash outflow from operating leases</w:t>
            </w:r>
          </w:p>
        </w:tc>
        <w:tc>
          <w:tcPr>
            <w:tcW w:w="300" w:type="dxa"/>
            <w:vAlign w:val="bottom"/>
            <w:tcBorders>
              <w:bottom w:val="single" w:sz="8" w:color="EAEAEA"/>
            </w:tcBorders>
            <w:shd w:val="clear" w:color="auto" w:fill="EAEAEA"/>
          </w:tcPr>
          <w:p>
            <w:pPr>
              <w:jc w:val="right"/>
              <w:ind w:right="13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00" w:type="dxa"/>
            <w:vAlign w:val="bottom"/>
            <w:tcBorders>
              <w:bottom w:val="single" w:sz="8" w:color="EAEAEA"/>
            </w:tcBorders>
            <w:gridSpan w:val="2"/>
            <w:shd w:val="clear" w:color="auto" w:fill="EAEAEA"/>
          </w:tcPr>
          <w:p>
            <w:pPr>
              <w:spacing w:after="0"/>
              <w:rPr>
                <w:sz w:val="17"/>
                <w:szCs w:val="17"/>
                <w:color w:val="auto"/>
              </w:rPr>
            </w:pPr>
          </w:p>
        </w:tc>
        <w:tc>
          <w:tcPr>
            <w:tcW w:w="500" w:type="dxa"/>
            <w:vAlign w:val="bottom"/>
            <w:tcBorders>
              <w:bottom w:val="single" w:sz="8" w:color="EAEAEA"/>
            </w:tcBorders>
            <w:gridSpan w:val="2"/>
            <w:shd w:val="clear" w:color="auto" w:fill="EAEAEA"/>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shd w:val="clear" w:color="auto" w:fill="EAEAEA"/>
              </w:rPr>
              <w:t>51,936</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gridSpan w:val="2"/>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jc w:val="right"/>
              <w:ind w:right="159"/>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00" w:type="dxa"/>
            <w:vAlign w:val="bottom"/>
            <w:tcBorders>
              <w:bottom w:val="single" w:sz="8" w:color="EAEAEA"/>
            </w:tcBorders>
            <w:gridSpan w:val="2"/>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shd w:val="clear" w:color="auto" w:fill="EAEAEA"/>
              </w:rPr>
              <w:t>45,979</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20" w:type="dxa"/>
            <w:vAlign w:val="bottom"/>
            <w:tcBorders>
              <w:bottom w:val="single" w:sz="8" w:color="EAEAEA"/>
            </w:tcBorders>
            <w:gridSpan w:val="2"/>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shd w:val="clear" w:color="auto" w:fill="EAEAEA"/>
              </w:rPr>
              <w:t>43,954</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5880" w:type="dxa"/>
            <w:vAlign w:val="bottom"/>
            <w:tcBorders>
              <w:bottom w:val="single" w:sz="8" w:color="EAEAEA"/>
            </w:tcBorders>
            <w:gridSpan w:val="4"/>
            <w:shd w:val="clear" w:color="auto" w:fill="EAEAEA"/>
          </w:tcPr>
          <w:p>
            <w:pPr>
              <w:spacing w:after="0" w:line="196" w:lineRule="exact"/>
              <w:rPr>
                <w:sz w:val="20"/>
                <w:szCs w:val="20"/>
                <w:color w:val="auto"/>
              </w:rPr>
            </w:pPr>
            <w:r>
              <w:rPr>
                <w:rFonts w:ascii="Times New Roman" w:cs="Times New Roman" w:eastAsia="Times New Roman" w:hAnsi="Times New Roman"/>
                <w:sz w:val="18"/>
                <w:szCs w:val="18"/>
                <w:color w:val="auto"/>
                <w:shd w:val="clear" w:color="auto" w:fill="EAEAEA"/>
              </w:rPr>
              <w:t>Capital expenditures included in accounts payable</w:t>
            </w:r>
          </w:p>
        </w:tc>
        <w:tc>
          <w:tcPr>
            <w:tcW w:w="300" w:type="dxa"/>
            <w:vAlign w:val="bottom"/>
            <w:tcBorders>
              <w:bottom w:val="single" w:sz="8" w:color="EAEAEA"/>
            </w:tcBorders>
            <w:shd w:val="clear" w:color="auto" w:fill="EAEAEA"/>
          </w:tcPr>
          <w:p>
            <w:pPr>
              <w:jc w:val="right"/>
              <w:ind w:right="13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360" w:type="dxa"/>
            <w:vAlign w:val="bottom"/>
            <w:tcBorders>
              <w:bottom w:val="single" w:sz="8" w:color="EAEAEA"/>
            </w:tcBorders>
            <w:shd w:val="clear" w:color="auto" w:fill="EAEAEA"/>
          </w:tcPr>
          <w:p>
            <w:pPr>
              <w:spacing w:after="0"/>
              <w:rPr>
                <w:sz w:val="17"/>
                <w:szCs w:val="17"/>
                <w:color w:val="auto"/>
              </w:rPr>
            </w:pPr>
          </w:p>
        </w:tc>
        <w:tc>
          <w:tcPr>
            <w:tcW w:w="660" w:type="dxa"/>
            <w:vAlign w:val="bottom"/>
            <w:tcBorders>
              <w:bottom w:val="single" w:sz="8" w:color="EAEAEA"/>
            </w:tcBorders>
            <w:gridSpan w:val="4"/>
            <w:shd w:val="clear" w:color="auto" w:fill="EAEAEA"/>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shd w:val="clear" w:color="auto" w:fill="EAEAEA"/>
              </w:rPr>
              <w:t>(14,130</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jc w:val="right"/>
              <w:ind w:right="159"/>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3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shd w:val="clear" w:color="auto" w:fill="EAEAEA"/>
              </w:rPr>
              <w:t>(6,867</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20" w:type="dxa"/>
            <w:vAlign w:val="bottom"/>
            <w:tcBorders>
              <w:bottom w:val="single" w:sz="8" w:color="EAEAEA"/>
            </w:tcBorders>
            <w:gridSpan w:val="2"/>
            <w:shd w:val="clear" w:color="auto" w:fill="EAEAEA"/>
          </w:tcPr>
          <w:p>
            <w:pPr>
              <w:spacing w:after="0"/>
              <w:rPr>
                <w:sz w:val="17"/>
                <w:szCs w:val="17"/>
                <w:color w:val="auto"/>
              </w:rPr>
            </w:pPr>
          </w:p>
        </w:tc>
        <w:tc>
          <w:tcPr>
            <w:tcW w:w="480" w:type="dxa"/>
            <w:vAlign w:val="bottom"/>
            <w:tcBorders>
              <w:bottom w:val="single" w:sz="8" w:color="EAEAEA"/>
            </w:tcBorders>
            <w:gridSpan w:val="2"/>
            <w:shd w:val="clear" w:color="auto" w:fill="EAEAEA"/>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EAEAEA"/>
              </w:rPr>
              <w:t>9,567</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p>
        </w:tc>
        <w:tc>
          <w:tcPr>
            <w:tcW w:w="60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74,334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53,551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39,153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-7094220</wp:posOffset>
            </wp:positionV>
            <wp:extent cx="284416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6">
                      <a:extLst>
                        <a:ext uri="{28A0092B-C50C-407E-A947-70E740481C1C}"/>
                      </a:extLst>
                    </a:blip>
                    <a:srcRect/>
                    <a:stretch>
                      <a:fillRect/>
                    </a:stretch>
                  </pic:blipFill>
                  <pic:spPr bwMode="auto">
                    <a:xfrm>
                      <a:off x="0" y="0"/>
                      <a:ext cx="2844165" cy="34925"/>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-4318635</wp:posOffset>
            </wp:positionV>
            <wp:extent cx="8566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7">
                      <a:extLst>
                        <a:ext uri="{28A0092B-C50C-407E-A947-70E740481C1C}"/>
                      </a:extLst>
                    </a:blip>
                    <a:srcRect/>
                    <a:stretch>
                      <a:fillRect/>
                    </a:stretch>
                  </pic:blipFill>
                  <pic:spPr bwMode="auto">
                    <a:xfrm>
                      <a:off x="0" y="0"/>
                      <a:ext cx="85661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5815330</wp:posOffset>
                </wp:positionH>
                <wp:positionV relativeFrom="paragraph">
                  <wp:posOffset>-4166235</wp:posOffset>
                </wp:positionV>
                <wp:extent cx="0" cy="952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9pt,-328.0499pt" to="457.9pt,-327.2999pt" o:allowincell="f" strokecolor="#000000" strokeweight="0pt"/>
            </w:pict>
          </mc:Fallback>
        </mc:AlternateContent>
        <w:drawing>
          <wp:anchor simplePos="0" relativeHeight="251657728" behindDoc="1" locked="0" layoutInCell="0" allowOverlap="1">
            <wp:simplePos x="0" y="0"/>
            <wp:positionH relativeFrom="column">
              <wp:posOffset>5965190</wp:posOffset>
            </wp:positionH>
            <wp:positionV relativeFrom="paragraph">
              <wp:posOffset>-4168775</wp:posOffset>
            </wp:positionV>
            <wp:extent cx="8566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8">
                      <a:extLst>
                        <a:ext uri="{28A0092B-C50C-407E-A947-70E740481C1C}"/>
                      </a:extLst>
                    </a:blip>
                    <a:srcRect/>
                    <a:stretch>
                      <a:fillRect/>
                    </a:stretch>
                  </pic:blipFill>
                  <pic:spPr bwMode="auto">
                    <a:xfrm>
                      <a:off x="0" y="0"/>
                      <a:ext cx="856615" cy="2540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-3317875</wp:posOffset>
            </wp:positionV>
            <wp:extent cx="8566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9">
                      <a:extLst>
                        <a:ext uri="{28A0092B-C50C-407E-A947-70E740481C1C}"/>
                      </a:extLst>
                    </a:blip>
                    <a:srcRect/>
                    <a:stretch>
                      <a:fillRect/>
                    </a:stretch>
                  </pic:blipFill>
                  <pic:spPr bwMode="auto">
                    <a:xfrm>
                      <a:off x="0" y="0"/>
                      <a:ext cx="856615" cy="2540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-3168015</wp:posOffset>
            </wp:positionV>
            <wp:extent cx="8566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0">
                      <a:extLst>
                        <a:ext uri="{28A0092B-C50C-407E-A947-70E740481C1C}"/>
                      </a:extLst>
                    </a:blip>
                    <a:srcRect/>
                    <a:stretch>
                      <a:fillRect/>
                    </a:stretch>
                  </pic:blipFill>
                  <pic:spPr bwMode="auto">
                    <a:xfrm>
                      <a:off x="0" y="0"/>
                      <a:ext cx="856615" cy="2540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-1755775</wp:posOffset>
            </wp:positionV>
            <wp:extent cx="8566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1">
                      <a:extLst>
                        <a:ext uri="{28A0092B-C50C-407E-A947-70E740481C1C}"/>
                      </a:extLst>
                    </a:blip>
                    <a:srcRect/>
                    <a:stretch>
                      <a:fillRect/>
                    </a:stretch>
                  </pic:blipFill>
                  <pic:spPr bwMode="auto">
                    <a:xfrm>
                      <a:off x="0" y="0"/>
                      <a:ext cx="856615" cy="2540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-1605915</wp:posOffset>
            </wp:positionV>
            <wp:extent cx="8566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a:extLst>
                        <a:ext uri="{28A0092B-C50C-407E-A947-70E740481C1C}"/>
                      </a:extLst>
                    </a:blip>
                    <a:srcRect/>
                    <a:stretch>
                      <a:fillRect/>
                    </a:stretch>
                  </pic:blipFill>
                  <pic:spPr bwMode="auto">
                    <a:xfrm>
                      <a:off x="0" y="0"/>
                      <a:ext cx="856615" cy="2540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-1315720</wp:posOffset>
            </wp:positionV>
            <wp:extent cx="8566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3">
                      <a:extLst>
                        <a:ext uri="{28A0092B-C50C-407E-A947-70E740481C1C}"/>
                      </a:extLst>
                    </a:blip>
                    <a:srcRect/>
                    <a:stretch>
                      <a:fillRect/>
                    </a:stretch>
                  </pic:blipFill>
                  <pic:spPr bwMode="auto">
                    <a:xfrm>
                      <a:off x="0" y="0"/>
                      <a:ext cx="856615" cy="25400"/>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-1146810</wp:posOffset>
            </wp:positionV>
            <wp:extent cx="78295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4">
                      <a:extLst>
                        <a:ext uri="{28A0092B-C50C-407E-A947-70E740481C1C}"/>
                      </a:extLst>
                    </a:blip>
                    <a:srcRect/>
                    <a:stretch>
                      <a:fillRect/>
                    </a:stretch>
                  </pic:blipFill>
                  <pic:spPr bwMode="auto">
                    <a:xfrm>
                      <a:off x="0" y="0"/>
                      <a:ext cx="78295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800"/>
          </w:cols>
          <w:pgMar w:left="720" w:top="926" w:right="720" w:bottom="176"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800"/>
          </w:cols>
          <w:pgMar w:left="720" w:top="926" w:right="720" w:bottom="176" w:gutter="0" w:footer="0" w:header="0"/>
          <w:type w:val="continuous"/>
        </w:sectPr>
      </w:pPr>
    </w:p>
    <w:bookmarkStart w:id="68" w:name="page69"/>
    <w:bookmarkEnd w:id="68"/>
    <w:p>
      <w:pPr>
        <w:ind w:left="2660"/>
        <w:spacing w:after="0"/>
        <w:rPr>
          <w:sz w:val="20"/>
          <w:szCs w:val="20"/>
          <w:color w:val="auto"/>
        </w:rPr>
      </w:pPr>
      <w:r>
        <w:rPr>
          <w:rFonts w:ascii="Times New Roman" w:cs="Times New Roman" w:eastAsia="Times New Roman" w:hAnsi="Times New Roman"/>
          <w:sz w:val="20"/>
          <w:szCs w:val="20"/>
          <w:b w:val="1"/>
          <w:bCs w:val="1"/>
          <w:color w:val="auto"/>
        </w:rPr>
        <w:t>KIRBY CORPORATION AND CONSOLIDATED SUBSIDIARIES</w:t>
      </w:r>
    </w:p>
    <w:p>
      <w:pPr>
        <w:spacing w:after="0" w:line="3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160" w:type="dxa"/>
            <w:vAlign w:val="bottom"/>
            <w:gridSpan w:val="65"/>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84"/>
        </w:trPr>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92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11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26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128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60" w:type="dxa"/>
            <w:vAlign w:val="bottom"/>
            <w:gridSpan w:val="12"/>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8"/>
              </w:rPr>
              <w:t>Treasury Stock</w:t>
            </w:r>
          </w:p>
        </w:tc>
        <w:tc>
          <w:tcPr>
            <w:tcW w:w="3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220" w:type="dxa"/>
            <w:vAlign w:val="bottom"/>
          </w:tcPr>
          <w:p>
            <w:pPr>
              <w:spacing w:after="0"/>
              <w:rPr>
                <w:sz w:val="16"/>
                <w:szCs w:val="16"/>
                <w:color w:val="auto"/>
              </w:rPr>
            </w:pPr>
          </w:p>
        </w:tc>
        <w:tc>
          <w:tcPr>
            <w:tcW w:w="7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340" w:type="dxa"/>
            <w:vAlign w:val="bottom"/>
            <w:gridSpan w:val="34"/>
          </w:tcPr>
          <w:p>
            <w:pPr>
              <w:jc w:val="right"/>
              <w:ind w:right="43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65"/>
        </w:trPr>
        <w:tc>
          <w:tcPr>
            <w:tcW w:w="11160" w:type="dxa"/>
            <w:vAlign w:val="bottom"/>
            <w:gridSpan w:val="65"/>
            <w:shd w:val="clear" w:color="auto" w:fill="EAEAEA"/>
          </w:tcPr>
          <w:p>
            <w:pPr>
              <w:spacing w:after="0" w:line="165" w:lineRule="exact"/>
              <w:rPr>
                <w:sz w:val="20"/>
                <w:szCs w:val="20"/>
                <w:color w:val="auto"/>
              </w:rPr>
            </w:pPr>
            <w:r>
              <w:rPr>
                <w:rFonts w:ascii="Times New Roman" w:cs="Times New Roman" w:eastAsia="Times New Roman" w:hAnsi="Times New Roman"/>
                <w:sz w:val="16"/>
                <w:szCs w:val="16"/>
                <w:color w:val="auto"/>
                <w:shd w:val="clear" w:color="auto" w:fill="EAEAEA"/>
              </w:rPr>
              <w:t>Balance at December</w:t>
            </w:r>
          </w:p>
        </w:tc>
        <w:tc>
          <w:tcPr>
            <w:tcW w:w="0" w:type="dxa"/>
            <w:vAlign w:val="bottom"/>
          </w:tcPr>
          <w:p>
            <w:pPr>
              <w:spacing w:after="0"/>
              <w:rPr>
                <w:sz w:val="1"/>
                <w:szCs w:val="1"/>
                <w:color w:val="auto"/>
              </w:rPr>
            </w:pPr>
          </w:p>
        </w:tc>
      </w:tr>
      <w:tr>
        <w:trPr>
          <w:trHeight w:val="197"/>
        </w:trPr>
        <w:tc>
          <w:tcPr>
            <w:tcW w:w="5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31, 2022</w:t>
            </w:r>
          </w:p>
        </w:tc>
        <w:tc>
          <w:tcPr>
            <w:tcW w:w="100" w:type="dxa"/>
            <w:vAlign w:val="bottom"/>
            <w:tcBorders>
              <w:bottom w:val="single" w:sz="8" w:color="EAEAEA"/>
            </w:tcBorders>
            <w:shd w:val="clear" w:color="auto" w:fill="EAEAEA"/>
          </w:tcPr>
          <w:p>
            <w:pPr>
              <w:spacing w:after="0"/>
              <w:rPr>
                <w:sz w:val="17"/>
                <w:szCs w:val="17"/>
                <w:color w:val="auto"/>
              </w:rPr>
            </w:pPr>
          </w:p>
        </w:tc>
        <w:tc>
          <w:tcPr>
            <w:tcW w:w="104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spacing w:after="0"/>
              <w:rPr>
                <w:sz w:val="17"/>
                <w:szCs w:val="17"/>
                <w:color w:val="auto"/>
              </w:rPr>
            </w:pPr>
          </w:p>
        </w:tc>
        <w:tc>
          <w:tcPr>
            <w:tcW w:w="4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65,472</w:t>
            </w:r>
          </w:p>
        </w:tc>
        <w:tc>
          <w:tcPr>
            <w:tcW w:w="2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gridSpan w:val="2"/>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18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4"/>
                <w:shd w:val="clear" w:color="auto" w:fill="EAEAEA"/>
              </w:rPr>
              <w:t>6,547</w:t>
            </w: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300" w:type="dxa"/>
            <w:vAlign w:val="bottom"/>
            <w:tcBorders>
              <w:bottom w:val="single" w:sz="8" w:color="EAEAEA"/>
            </w:tcBorders>
            <w:shd w:val="clear" w:color="auto" w:fill="EAEAEA"/>
          </w:tcPr>
          <w:p>
            <w:pPr>
              <w:spacing w:after="0"/>
              <w:rPr>
                <w:sz w:val="17"/>
                <w:szCs w:val="17"/>
                <w:color w:val="auto"/>
              </w:rPr>
            </w:pPr>
          </w:p>
        </w:tc>
        <w:tc>
          <w:tcPr>
            <w:tcW w:w="50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2"/>
                <w:shd w:val="clear" w:color="auto" w:fill="EAEAEA"/>
              </w:rPr>
              <w:t>859,345</w:t>
            </w:r>
          </w:p>
        </w:tc>
        <w:tc>
          <w:tcPr>
            <w:tcW w:w="4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0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16,853</w:t>
            </w: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gridSpan w:val="2"/>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2,468,730</w:t>
            </w: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420" w:type="dxa"/>
            <w:vAlign w:val="bottom"/>
            <w:tcBorders>
              <w:bottom w:val="single" w:sz="8" w:color="EAEAEA"/>
            </w:tcBorders>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91"/>
                <w:shd w:val="clear" w:color="auto" w:fill="EAEAEA"/>
              </w:rPr>
              <w:t>(5,565</w:t>
            </w:r>
          </w:p>
        </w:tc>
        <w:tc>
          <w:tcPr>
            <w:tcW w:w="40" w:type="dxa"/>
            <w:vAlign w:val="bottom"/>
            <w:tcBorders>
              <w:bottom w:val="single" w:sz="8" w:color="EAEAEA"/>
            </w:tcBorders>
            <w:gridSpan w:val="2"/>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120" w:type="dxa"/>
            <w:vAlign w:val="bottom"/>
            <w:tcBorders>
              <w:bottom w:val="single" w:sz="8" w:color="EAEAEA"/>
            </w:tcBorders>
            <w:shd w:val="clear" w:color="auto" w:fill="EAEAEA"/>
          </w:tcPr>
          <w:p>
            <w:pPr>
              <w:spacing w:after="0"/>
              <w:rPr>
                <w:sz w:val="17"/>
                <w:szCs w:val="17"/>
                <w:color w:val="auto"/>
              </w:rPr>
            </w:pPr>
          </w:p>
        </w:tc>
        <w:tc>
          <w:tcPr>
            <w:tcW w:w="560" w:type="dxa"/>
            <w:vAlign w:val="bottom"/>
            <w:tcBorders>
              <w:bottom w:val="single" w:sz="8" w:color="EAEAEA"/>
            </w:tcBorders>
            <w:gridSpan w:val="3"/>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4"/>
                <w:shd w:val="clear" w:color="auto" w:fill="EAEAEA"/>
              </w:rPr>
              <w:t>(308,598</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8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w:t>
            </w:r>
          </w:p>
        </w:tc>
        <w:tc>
          <w:tcPr>
            <w:tcW w:w="900" w:type="dxa"/>
            <w:vAlign w:val="bottom"/>
            <w:tcBorders>
              <w:bottom w:val="single" w:sz="8" w:color="EAEAEA"/>
            </w:tcBorders>
            <w:gridSpan w:val="3"/>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2,291</w:t>
            </w: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gridSpan w:val="3"/>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3"/>
                <w:shd w:val="clear" w:color="auto" w:fill="EAEAEA"/>
              </w:rPr>
              <w:t>3,045,168</w:t>
            </w: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4,208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1160" w:type="dxa"/>
            <w:vAlign w:val="bottom"/>
            <w:gridSpan w:val="65"/>
            <w:shd w:val="clear" w:color="auto" w:fill="EAEAEA"/>
          </w:tcPr>
          <w:p>
            <w:pPr>
              <w:ind w:left="20"/>
              <w:spacing w:after="0" w:line="165" w:lineRule="exact"/>
              <w:rPr>
                <w:sz w:val="20"/>
                <w:szCs w:val="20"/>
                <w:color w:val="auto"/>
              </w:rPr>
            </w:pPr>
            <w:r>
              <w:rPr>
                <w:rFonts w:ascii="Times New Roman" w:cs="Times New Roman" w:eastAsia="Times New Roman" w:hAnsi="Times New Roman"/>
                <w:sz w:val="16"/>
                <w:szCs w:val="16"/>
                <w:color w:val="auto"/>
                <w:shd w:val="clear" w:color="auto" w:fill="EAEAEA"/>
              </w:rPr>
              <w:t>Issuance of stock for</w:t>
            </w:r>
          </w:p>
        </w:tc>
        <w:tc>
          <w:tcPr>
            <w:tcW w:w="0" w:type="dxa"/>
            <w:vAlign w:val="bottom"/>
          </w:tcPr>
          <w:p>
            <w:pPr>
              <w:spacing w:after="0"/>
              <w:rPr>
                <w:sz w:val="1"/>
                <w:szCs w:val="1"/>
                <w:color w:val="auto"/>
              </w:rPr>
            </w:pPr>
          </w:p>
        </w:tc>
      </w:tr>
      <w:tr>
        <w:trPr>
          <w:trHeight w:val="216"/>
        </w:trPr>
        <w:tc>
          <w:tcPr>
            <w:tcW w:w="7500" w:type="dxa"/>
            <w:vAlign w:val="bottom"/>
            <w:gridSpan w:val="35"/>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equity awards, net of</w:t>
            </w:r>
          </w:p>
        </w:tc>
        <w:tc>
          <w:tcPr>
            <w:tcW w:w="220" w:type="dxa"/>
            <w:vAlign w:val="bottom"/>
            <w:gridSpan w:val="2"/>
            <w:vMerge w:val="restart"/>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74"/>
                <w:shd w:val="clear" w:color="auto" w:fill="EAEAEA"/>
              </w:rPr>
              <w:t>194</w:t>
            </w:r>
          </w:p>
        </w:tc>
        <w:tc>
          <w:tcPr>
            <w:tcW w:w="600" w:type="dxa"/>
            <w:vAlign w:val="bottom"/>
            <w:gridSpan w:val="8"/>
            <w:shd w:val="clear" w:color="auto" w:fill="EAEAEA"/>
          </w:tcPr>
          <w:p>
            <w:pPr>
              <w:spacing w:after="0"/>
              <w:rPr>
                <w:sz w:val="18"/>
                <w:szCs w:val="18"/>
                <w:color w:val="auto"/>
              </w:rPr>
            </w:pPr>
          </w:p>
        </w:tc>
        <w:tc>
          <w:tcPr>
            <w:tcW w:w="40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6"/>
                <w:shd w:val="clear" w:color="auto" w:fill="EAEAEA"/>
              </w:rPr>
              <w:t>10,776</w:t>
            </w:r>
          </w:p>
        </w:tc>
        <w:tc>
          <w:tcPr>
            <w:tcW w:w="2440" w:type="dxa"/>
            <w:vAlign w:val="bottom"/>
            <w:gridSpan w:val="18"/>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00" w:type="dxa"/>
            <w:vAlign w:val="bottom"/>
            <w:tcBorders>
              <w:bottom w:val="single" w:sz="8" w:color="EAEAEA"/>
            </w:tcBorders>
            <w:gridSpan w:val="16"/>
            <w:shd w:val="clear" w:color="auto" w:fill="EAEAEA"/>
          </w:tcPr>
          <w:p>
            <w:pPr>
              <w:ind w:left="20"/>
              <w:spacing w:after="0" w:line="152" w:lineRule="exact"/>
              <w:rPr>
                <w:sz w:val="20"/>
                <w:szCs w:val="20"/>
                <w:color w:val="auto"/>
              </w:rPr>
            </w:pPr>
            <w:r>
              <w:rPr>
                <w:rFonts w:ascii="Times New Roman" w:cs="Times New Roman" w:eastAsia="Times New Roman" w:hAnsi="Times New Roman"/>
                <w:sz w:val="16"/>
                <w:szCs w:val="16"/>
                <w:color w:val="auto"/>
                <w:w w:val="92"/>
                <w:shd w:val="clear" w:color="auto" w:fill="EAEAEA"/>
              </w:rPr>
              <w:t>forfeitures</w:t>
            </w:r>
          </w:p>
        </w:tc>
        <w:tc>
          <w:tcPr>
            <w:tcW w:w="540" w:type="dxa"/>
            <w:vAlign w:val="bottom"/>
            <w:tcBorders>
              <w:bottom w:val="single" w:sz="8" w:color="EAEAEA"/>
            </w:tcBorders>
            <w:gridSpan w:val="3"/>
            <w:shd w:val="clear" w:color="auto" w:fill="EAEAEA"/>
          </w:tcPr>
          <w:p>
            <w:pPr>
              <w:jc w:val="right"/>
              <w:ind w:right="20"/>
              <w:spacing w:after="0" w:line="152" w:lineRule="exact"/>
              <w:rPr>
                <w:sz w:val="20"/>
                <w:szCs w:val="20"/>
                <w:color w:val="auto"/>
              </w:rPr>
            </w:pPr>
            <w:r>
              <w:rPr>
                <w:rFonts w:ascii="Times New Roman" w:cs="Times New Roman" w:eastAsia="Times New Roman" w:hAnsi="Times New Roman"/>
                <w:sz w:val="16"/>
                <w:szCs w:val="16"/>
                <w:color w:val="auto"/>
                <w:shd w:val="clear" w:color="auto" w:fill="EAEAEA"/>
              </w:rPr>
              <w:t>(10,776</w:t>
            </w:r>
          </w:p>
        </w:tc>
        <w:tc>
          <w:tcPr>
            <w:tcW w:w="3060" w:type="dxa"/>
            <w:vAlign w:val="bottom"/>
            <w:tcBorders>
              <w:bottom w:val="single" w:sz="8" w:color="EAEAEA"/>
            </w:tcBorders>
            <w:gridSpan w:val="16"/>
            <w:shd w:val="clear" w:color="auto" w:fill="EAEAEA"/>
          </w:tcPr>
          <w:p>
            <w:pPr>
              <w:jc w:val="right"/>
              <w:ind w:right="29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20" w:type="dxa"/>
            <w:vAlign w:val="bottom"/>
            <w:tcBorders>
              <w:bottom w:val="single" w:sz="8" w:color="EAEAEA"/>
            </w:tcBorders>
            <w:gridSpan w:val="2"/>
            <w:vMerge w:val="continue"/>
            <w:shd w:val="clear" w:color="auto" w:fill="EAEAEA"/>
          </w:tcPr>
          <w:p>
            <w:pPr>
              <w:spacing w:after="0"/>
              <w:rPr>
                <w:sz w:val="14"/>
                <w:szCs w:val="14"/>
                <w:color w:val="auto"/>
              </w:rPr>
            </w:pPr>
          </w:p>
        </w:tc>
        <w:tc>
          <w:tcPr>
            <w:tcW w:w="600" w:type="dxa"/>
            <w:vAlign w:val="bottom"/>
            <w:tcBorders>
              <w:bottom w:val="single" w:sz="8" w:color="EAEAEA"/>
            </w:tcBorders>
            <w:gridSpan w:val="8"/>
            <w:shd w:val="clear" w:color="auto" w:fill="EAEAEA"/>
          </w:tcPr>
          <w:p>
            <w:pPr>
              <w:spacing w:after="0"/>
              <w:rPr>
                <w:sz w:val="14"/>
                <w:szCs w:val="14"/>
                <w:color w:val="auto"/>
              </w:rPr>
            </w:pPr>
          </w:p>
        </w:tc>
        <w:tc>
          <w:tcPr>
            <w:tcW w:w="400" w:type="dxa"/>
            <w:vAlign w:val="bottom"/>
            <w:tcBorders>
              <w:bottom w:val="single" w:sz="8" w:color="EAEAEA"/>
            </w:tcBorders>
            <w:gridSpan w:val="2"/>
            <w:vMerge w:val="continue"/>
            <w:shd w:val="clear" w:color="auto" w:fill="EAEAEA"/>
          </w:tcPr>
          <w:p>
            <w:pPr>
              <w:spacing w:after="0"/>
              <w:rPr>
                <w:sz w:val="14"/>
                <w:szCs w:val="14"/>
                <w:color w:val="auto"/>
              </w:rPr>
            </w:pPr>
          </w:p>
        </w:tc>
        <w:tc>
          <w:tcPr>
            <w:tcW w:w="2440" w:type="dxa"/>
            <w:vAlign w:val="bottom"/>
            <w:tcBorders>
              <w:bottom w:val="single" w:sz="8" w:color="EAEAEA"/>
            </w:tcBorders>
            <w:gridSpan w:val="18"/>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160" w:type="dxa"/>
            <w:vAlign w:val="bottom"/>
            <w:gridSpan w:val="65"/>
          </w:tcPr>
          <w:p>
            <w:pPr>
              <w:spacing w:after="0" w:line="182" w:lineRule="exact"/>
              <w:rPr>
                <w:sz w:val="20"/>
                <w:szCs w:val="20"/>
                <w:color w:val="auto"/>
              </w:rPr>
            </w:pPr>
            <w:r>
              <w:rPr>
                <w:rFonts w:ascii="Times New Roman" w:cs="Times New Roman" w:eastAsia="Times New Roman" w:hAnsi="Times New Roman"/>
                <w:sz w:val="16"/>
                <w:szCs w:val="16"/>
                <w:color w:val="auto"/>
              </w:rPr>
              <w:t>Tax withholdings on</w:t>
            </w:r>
          </w:p>
        </w:tc>
        <w:tc>
          <w:tcPr>
            <w:tcW w:w="0" w:type="dxa"/>
            <w:vAlign w:val="bottom"/>
          </w:tcPr>
          <w:p>
            <w:pPr>
              <w:spacing w:after="0"/>
              <w:rPr>
                <w:sz w:val="1"/>
                <w:szCs w:val="1"/>
                <w:color w:val="auto"/>
              </w:rPr>
            </w:pPr>
          </w:p>
        </w:tc>
      </w:tr>
      <w:tr>
        <w:trPr>
          <w:trHeight w:val="200"/>
        </w:trPr>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award vesting</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8"/>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(3,908 )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(3,908 )</w:t>
            </w:r>
          </w:p>
        </w:tc>
        <w:tc>
          <w:tcPr>
            <w:tcW w:w="0" w:type="dxa"/>
            <w:vAlign w:val="bottom"/>
          </w:tcPr>
          <w:p>
            <w:pPr>
              <w:spacing w:after="0"/>
              <w:rPr>
                <w:sz w:val="1"/>
                <w:szCs w:val="1"/>
                <w:color w:val="auto"/>
              </w:rPr>
            </w:pPr>
          </w:p>
        </w:tc>
      </w:tr>
      <w:tr>
        <w:trPr>
          <w:trHeight w:val="165"/>
        </w:trPr>
        <w:tc>
          <w:tcPr>
            <w:tcW w:w="4000" w:type="dxa"/>
            <w:vAlign w:val="bottom"/>
            <w:gridSpan w:val="17"/>
            <w:shd w:val="clear" w:color="auto" w:fill="EAEAEA"/>
          </w:tcPr>
          <w:p>
            <w:pPr>
              <w:spacing w:after="0" w:line="165" w:lineRule="exact"/>
              <w:rPr>
                <w:sz w:val="20"/>
                <w:szCs w:val="20"/>
                <w:color w:val="auto"/>
              </w:rPr>
            </w:pPr>
            <w:r>
              <w:rPr>
                <w:rFonts w:ascii="Times New Roman" w:cs="Times New Roman" w:eastAsia="Times New Roman" w:hAnsi="Times New Roman"/>
                <w:sz w:val="16"/>
                <w:szCs w:val="16"/>
                <w:color w:val="auto"/>
                <w:shd w:val="clear" w:color="auto" w:fill="EAEAEA"/>
              </w:rPr>
              <w:t>Amortization of share-</w:t>
            </w:r>
          </w:p>
        </w:tc>
        <w:tc>
          <w:tcPr>
            <w:tcW w:w="40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6"/>
                <w:shd w:val="clear" w:color="auto" w:fill="EAEAEA"/>
              </w:rPr>
              <w:t>14,941</w:t>
            </w:r>
          </w:p>
        </w:tc>
        <w:tc>
          <w:tcPr>
            <w:tcW w:w="6240" w:type="dxa"/>
            <w:vAlign w:val="bottom"/>
            <w:gridSpan w:val="43"/>
            <w:shd w:val="clear" w:color="auto" w:fill="EAEAEA"/>
          </w:tcPr>
          <w:p>
            <w:pPr>
              <w:spacing w:after="0"/>
              <w:rPr>
                <w:sz w:val="14"/>
                <w:szCs w:val="14"/>
                <w:color w:val="auto"/>
              </w:rPr>
            </w:pPr>
          </w:p>
        </w:tc>
        <w:tc>
          <w:tcPr>
            <w:tcW w:w="4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6"/>
                <w:shd w:val="clear" w:color="auto" w:fill="EAEAEA"/>
              </w:rPr>
              <w:t>14,941</w:t>
            </w:r>
          </w:p>
        </w:tc>
        <w:tc>
          <w:tcPr>
            <w:tcW w:w="100" w:type="dxa"/>
            <w:vAlign w:val="bottom"/>
            <w:gridSpan w:val="3"/>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00" w:type="dxa"/>
            <w:vAlign w:val="bottom"/>
            <w:gridSpan w:val="17"/>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based compensation</w:t>
            </w:r>
          </w:p>
        </w:tc>
        <w:tc>
          <w:tcPr>
            <w:tcW w:w="400" w:type="dxa"/>
            <w:vAlign w:val="bottom"/>
            <w:vMerge w:val="continue"/>
            <w:shd w:val="clear" w:color="auto" w:fill="EAEAEA"/>
          </w:tcPr>
          <w:p>
            <w:pPr>
              <w:spacing w:after="0"/>
              <w:rPr>
                <w:sz w:val="18"/>
                <w:szCs w:val="18"/>
                <w:color w:val="auto"/>
              </w:rPr>
            </w:pPr>
          </w:p>
        </w:tc>
        <w:tc>
          <w:tcPr>
            <w:tcW w:w="6240" w:type="dxa"/>
            <w:vAlign w:val="bottom"/>
            <w:gridSpan w:val="43"/>
            <w:shd w:val="clear" w:color="auto" w:fill="EAEAEA"/>
          </w:tcPr>
          <w:p>
            <w:pPr>
              <w:spacing w:after="0"/>
              <w:rPr>
                <w:sz w:val="18"/>
                <w:szCs w:val="18"/>
                <w:color w:val="auto"/>
              </w:rPr>
            </w:pPr>
          </w:p>
        </w:tc>
        <w:tc>
          <w:tcPr>
            <w:tcW w:w="420" w:type="dxa"/>
            <w:vAlign w:val="bottom"/>
            <w:vMerge w:val="continue"/>
            <w:shd w:val="clear" w:color="auto" w:fill="EAEAEA"/>
          </w:tcPr>
          <w:p>
            <w:pPr>
              <w:spacing w:after="0"/>
              <w:rPr>
                <w:sz w:val="18"/>
                <w:szCs w:val="18"/>
                <w:color w:val="auto"/>
              </w:rPr>
            </w:pPr>
          </w:p>
        </w:tc>
        <w:tc>
          <w:tcPr>
            <w:tcW w:w="100" w:type="dxa"/>
            <w:vAlign w:val="bottom"/>
            <w:gridSpan w:val="3"/>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160" w:type="dxa"/>
            <w:vAlign w:val="bottom"/>
            <w:gridSpan w:val="65"/>
          </w:tcPr>
          <w:p>
            <w:pPr>
              <w:spacing w:after="0" w:line="182" w:lineRule="exact"/>
              <w:rPr>
                <w:sz w:val="20"/>
                <w:szCs w:val="20"/>
                <w:color w:val="auto"/>
              </w:rPr>
            </w:pPr>
            <w:r>
              <w:rPr>
                <w:rFonts w:ascii="Times New Roman" w:cs="Times New Roman" w:eastAsia="Times New Roman" w:hAnsi="Times New Roman"/>
                <w:sz w:val="16"/>
                <w:szCs w:val="16"/>
                <w:color w:val="auto"/>
              </w:rPr>
              <w:t>Treasury stock</w:t>
            </w:r>
          </w:p>
        </w:tc>
        <w:tc>
          <w:tcPr>
            <w:tcW w:w="0" w:type="dxa"/>
            <w:vAlign w:val="bottom"/>
          </w:tcPr>
          <w:p>
            <w:pPr>
              <w:spacing w:after="0"/>
              <w:rPr>
                <w:sz w:val="1"/>
                <w:szCs w:val="1"/>
                <w:color w:val="auto"/>
              </w:rPr>
            </w:pPr>
          </w:p>
        </w:tc>
      </w:tr>
      <w:tr>
        <w:trPr>
          <w:trHeight w:val="200"/>
        </w:trPr>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purchases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8"/>
          </w:tcPr>
          <w:p>
            <w:pPr>
              <w:jc w:val="right"/>
              <w:spacing w:after="0"/>
              <w:rPr>
                <w:sz w:val="20"/>
                <w:szCs w:val="20"/>
                <w:color w:val="auto"/>
              </w:rPr>
            </w:pPr>
            <w:r>
              <w:rPr>
                <w:rFonts w:ascii="Times New Roman" w:cs="Times New Roman" w:eastAsia="Times New Roman" w:hAnsi="Times New Roman"/>
                <w:sz w:val="16"/>
                <w:szCs w:val="16"/>
                <w:color w:val="auto"/>
              </w:rPr>
              <w:t>(1,485 )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(112,803 )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(112,803 )</w:t>
            </w:r>
          </w:p>
        </w:tc>
        <w:tc>
          <w:tcPr>
            <w:tcW w:w="0" w:type="dxa"/>
            <w:vAlign w:val="bottom"/>
          </w:tcPr>
          <w:p>
            <w:pPr>
              <w:spacing w:after="0"/>
              <w:rPr>
                <w:sz w:val="1"/>
                <w:szCs w:val="1"/>
                <w:color w:val="auto"/>
              </w:rPr>
            </w:pPr>
          </w:p>
        </w:tc>
      </w:tr>
      <w:tr>
        <w:trPr>
          <w:trHeight w:val="198"/>
        </w:trPr>
        <w:tc>
          <w:tcPr>
            <w:tcW w:w="11160" w:type="dxa"/>
            <w:vAlign w:val="bottom"/>
            <w:gridSpan w:val="65"/>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Excise taxes on treasury</w:t>
            </w:r>
          </w:p>
        </w:tc>
        <w:tc>
          <w:tcPr>
            <w:tcW w:w="0" w:type="dxa"/>
            <w:vAlign w:val="bottom"/>
          </w:tcPr>
          <w:p>
            <w:pPr>
              <w:spacing w:after="0"/>
              <w:rPr>
                <w:sz w:val="1"/>
                <w:szCs w:val="1"/>
                <w:color w:val="auto"/>
              </w:rPr>
            </w:pPr>
          </w:p>
        </w:tc>
      </w:tr>
      <w:tr>
        <w:trPr>
          <w:trHeight w:val="184"/>
        </w:trPr>
        <w:tc>
          <w:tcPr>
            <w:tcW w:w="8420" w:type="dxa"/>
            <w:vAlign w:val="bottom"/>
            <w:gridSpan w:val="46"/>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stock purchases</w:t>
            </w:r>
          </w:p>
        </w:tc>
        <w:tc>
          <w:tcPr>
            <w:tcW w:w="340" w:type="dxa"/>
            <w:vAlign w:val="bottom"/>
            <w:gridSpan w:val="3"/>
            <w:shd w:val="clear" w:color="auto" w:fill="EAEAEA"/>
          </w:tcPr>
          <w:p>
            <w:pPr>
              <w:jc w:val="right"/>
              <w:ind w:right="40"/>
              <w:spacing w:after="0"/>
              <w:rPr>
                <w:sz w:val="20"/>
                <w:szCs w:val="20"/>
                <w:color w:val="auto"/>
              </w:rPr>
            </w:pPr>
            <w:r>
              <w:rPr>
                <w:rFonts w:ascii="Times New Roman" w:cs="Times New Roman" w:eastAsia="Times New Roman" w:hAnsi="Times New Roman"/>
                <w:sz w:val="16"/>
                <w:szCs w:val="16"/>
                <w:color w:val="auto"/>
                <w:w w:val="95"/>
                <w:shd w:val="clear" w:color="auto" w:fill="EAEAEA"/>
              </w:rPr>
              <w:t>(972</w:t>
            </w:r>
          </w:p>
        </w:tc>
        <w:tc>
          <w:tcPr>
            <w:tcW w:w="1880" w:type="dxa"/>
            <w:vAlign w:val="bottom"/>
            <w:gridSpan w:val="12"/>
            <w:shd w:val="clear" w:color="auto" w:fill="EAEAEA"/>
          </w:tcPr>
          <w:p>
            <w:pPr>
              <w:jc w:val="right"/>
              <w:ind w:right="176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shd w:val="clear" w:color="auto" w:fill="EAEAEA"/>
              </w:rPr>
              <w:t>(972</w:t>
            </w:r>
          </w:p>
        </w:tc>
        <w:tc>
          <w:tcPr>
            <w:tcW w:w="8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0" w:type="dxa"/>
            <w:vAlign w:val="bottom"/>
          </w:tcPr>
          <w:p>
            <w:pPr>
              <w:spacing w:after="0"/>
              <w:rPr>
                <w:sz w:val="1"/>
                <w:szCs w:val="1"/>
                <w:color w:val="auto"/>
              </w:rPr>
            </w:pPr>
          </w:p>
        </w:tc>
      </w:tr>
      <w:tr>
        <w:trPr>
          <w:trHeight w:val="182"/>
        </w:trPr>
        <w:tc>
          <w:tcPr>
            <w:tcW w:w="474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auto"/>
              </w:rPr>
              <w:t>Total comprehensive</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18,153</w:t>
            </w:r>
          </w:p>
        </w:tc>
        <w:tc>
          <w:tcPr>
            <w:tcW w:w="320" w:type="dxa"/>
            <w:vAlign w:val="bottom"/>
            <w:gridSpan w:val="4"/>
          </w:tcPr>
          <w:p>
            <w:pPr>
              <w:spacing w:after="0"/>
              <w:rPr>
                <w:sz w:val="15"/>
                <w:szCs w:val="15"/>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222,935</w:t>
            </w:r>
          </w:p>
        </w:tc>
        <w:tc>
          <w:tcPr>
            <w:tcW w:w="3580" w:type="dxa"/>
            <w:vAlign w:val="bottom"/>
            <w:gridSpan w:val="28"/>
          </w:tcPr>
          <w:p>
            <w:pPr>
              <w:spacing w:after="0"/>
              <w:rPr>
                <w:sz w:val="15"/>
                <w:szCs w:val="15"/>
                <w:color w:val="auto"/>
              </w:rPr>
            </w:pPr>
          </w:p>
        </w:tc>
        <w:tc>
          <w:tcPr>
            <w:tcW w:w="7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241,058</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net of taxes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1160" w:type="dxa"/>
            <w:vAlign w:val="bottom"/>
            <w:gridSpan w:val="65"/>
            <w:shd w:val="clear" w:color="auto" w:fill="EAEAEA"/>
          </w:tcPr>
          <w:p>
            <w:pPr>
              <w:spacing w:after="0" w:line="165" w:lineRule="exact"/>
              <w:rPr>
                <w:sz w:val="20"/>
                <w:szCs w:val="20"/>
                <w:color w:val="auto"/>
              </w:rPr>
            </w:pPr>
            <w:r>
              <w:rPr>
                <w:rFonts w:ascii="Times New Roman" w:cs="Times New Roman" w:eastAsia="Times New Roman" w:hAnsi="Times New Roman"/>
                <w:sz w:val="16"/>
                <w:szCs w:val="16"/>
                <w:color w:val="auto"/>
                <w:shd w:val="clear" w:color="auto" w:fill="EAEAEA"/>
              </w:rPr>
              <w:t>Return of investment to</w:t>
            </w:r>
          </w:p>
        </w:tc>
        <w:tc>
          <w:tcPr>
            <w:tcW w:w="0" w:type="dxa"/>
            <w:vAlign w:val="bottom"/>
          </w:tcPr>
          <w:p>
            <w:pPr>
              <w:spacing w:after="0"/>
              <w:rPr>
                <w:sz w:val="1"/>
                <w:szCs w:val="1"/>
                <w:color w:val="auto"/>
              </w:rPr>
            </w:pPr>
          </w:p>
        </w:tc>
      </w:tr>
      <w:tr>
        <w:trPr>
          <w:trHeight w:val="217"/>
        </w:trPr>
        <w:tc>
          <w:tcPr>
            <w:tcW w:w="170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noncontrolling interests</w:t>
            </w:r>
          </w:p>
        </w:tc>
        <w:tc>
          <w:tcPr>
            <w:tcW w:w="680" w:type="dxa"/>
            <w:vAlign w:val="bottom"/>
            <w:tcBorders>
              <w:bottom w:val="single" w:sz="8" w:color="auto"/>
            </w:tcBorders>
            <w:gridSpan w:val="3"/>
            <w:shd w:val="clear" w:color="auto" w:fill="EAEAEA"/>
          </w:tcPr>
          <w:p>
            <w:pPr>
              <w:spacing w:after="0"/>
              <w:rPr>
                <w:sz w:val="18"/>
                <w:szCs w:val="18"/>
                <w:color w:val="auto"/>
              </w:rPr>
            </w:pPr>
          </w:p>
        </w:tc>
        <w:tc>
          <w:tcPr>
            <w:tcW w:w="240" w:type="dxa"/>
            <w:vAlign w:val="bottom"/>
            <w:gridSpan w:val="2"/>
            <w:shd w:val="clear" w:color="auto" w:fill="EAEAEA"/>
          </w:tcPr>
          <w:p>
            <w:pPr>
              <w:spacing w:after="0"/>
              <w:rPr>
                <w:sz w:val="18"/>
                <w:szCs w:val="18"/>
                <w:color w:val="auto"/>
              </w:rPr>
            </w:pPr>
          </w:p>
        </w:tc>
        <w:tc>
          <w:tcPr>
            <w:tcW w:w="680" w:type="dxa"/>
            <w:vAlign w:val="bottom"/>
            <w:tcBorders>
              <w:bottom w:val="single" w:sz="8" w:color="auto"/>
            </w:tcBorders>
            <w:gridSpan w:val="5"/>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tcBorders>
              <w:bottom w:val="single" w:sz="8" w:color="auto"/>
            </w:tcBorders>
            <w:gridSpan w:val="5"/>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60" w:type="dxa"/>
            <w:vAlign w:val="bottom"/>
            <w:tcBorders>
              <w:bottom w:val="single" w:sz="8" w:color="auto"/>
            </w:tcBorders>
            <w:gridSpan w:val="5"/>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tcBorders>
              <w:bottom w:val="single" w:sz="8" w:color="auto"/>
            </w:tcBorders>
            <w:gridSpan w:val="5"/>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700" w:type="dxa"/>
            <w:vAlign w:val="bottom"/>
            <w:tcBorders>
              <w:bottom w:val="single" w:sz="8" w:color="auto"/>
            </w:tcBorders>
            <w:gridSpan w:val="6"/>
            <w:shd w:val="clear" w:color="auto" w:fill="EAEAEA"/>
          </w:tcPr>
          <w:p>
            <w:pPr>
              <w:spacing w:after="0"/>
              <w:rPr>
                <w:sz w:val="18"/>
                <w:szCs w:val="18"/>
                <w:color w:val="auto"/>
              </w:rPr>
            </w:pPr>
          </w:p>
        </w:tc>
        <w:tc>
          <w:tcPr>
            <w:tcW w:w="220" w:type="dxa"/>
            <w:vAlign w:val="bottom"/>
            <w:gridSpan w:val="4"/>
            <w:shd w:val="clear" w:color="auto" w:fill="EAEAEA"/>
          </w:tcPr>
          <w:p>
            <w:pPr>
              <w:spacing w:after="0"/>
              <w:rPr>
                <w:sz w:val="18"/>
                <w:szCs w:val="18"/>
                <w:color w:val="auto"/>
              </w:rPr>
            </w:pPr>
          </w:p>
        </w:tc>
        <w:tc>
          <w:tcPr>
            <w:tcW w:w="800" w:type="dxa"/>
            <w:vAlign w:val="bottom"/>
            <w:tcBorders>
              <w:bottom w:val="single" w:sz="8" w:color="auto"/>
            </w:tcBorders>
            <w:gridSpan w:val="7"/>
            <w:shd w:val="clear" w:color="auto" w:fill="EAEAEA"/>
          </w:tcPr>
          <w:p>
            <w:pPr>
              <w:spacing w:after="0"/>
              <w:rPr>
                <w:sz w:val="18"/>
                <w:szCs w:val="18"/>
                <w:color w:val="auto"/>
              </w:rPr>
            </w:pPr>
          </w:p>
        </w:tc>
        <w:tc>
          <w:tcPr>
            <w:tcW w:w="220" w:type="dxa"/>
            <w:vAlign w:val="bottom"/>
            <w:gridSpan w:val="2"/>
            <w:shd w:val="clear" w:color="auto" w:fill="EAEAEA"/>
          </w:tcPr>
          <w:p>
            <w:pPr>
              <w:spacing w:after="0"/>
              <w:rPr>
                <w:sz w:val="18"/>
                <w:szCs w:val="18"/>
                <w:color w:val="auto"/>
              </w:rPr>
            </w:pPr>
          </w:p>
        </w:tc>
        <w:tc>
          <w:tcPr>
            <w:tcW w:w="1060" w:type="dxa"/>
            <w:vAlign w:val="bottom"/>
            <w:tcBorders>
              <w:bottom w:val="single" w:sz="8" w:color="auto"/>
            </w:tcBorders>
            <w:gridSpan w:val="5"/>
            <w:shd w:val="clear" w:color="auto" w:fill="EAEAEA"/>
          </w:tcPr>
          <w:p>
            <w:pPr>
              <w:jc w:val="right"/>
              <w:ind w:right="1060"/>
              <w:spacing w:after="0"/>
              <w:rPr>
                <w:sz w:val="20"/>
                <w:szCs w:val="20"/>
                <w:color w:val="auto"/>
              </w:rPr>
            </w:pPr>
            <w:r>
              <w:rPr>
                <w:rFonts w:ascii="Times New Roman" w:cs="Times New Roman" w:eastAsia="Times New Roman" w:hAnsi="Times New Roman"/>
                <w:sz w:val="16"/>
                <w:szCs w:val="16"/>
                <w:color w:val="auto"/>
                <w:shd w:val="clear" w:color="auto" w:fill="EAEAEA"/>
              </w:rPr>
              <w:t>(1,015</w:t>
            </w:r>
          </w:p>
        </w:tc>
        <w:tc>
          <w:tcPr>
            <w:tcW w:w="220" w:type="dxa"/>
            <w:vAlign w:val="bottom"/>
            <w:shd w:val="clear" w:color="auto" w:fill="EAEAEA"/>
          </w:tcPr>
          <w:p>
            <w:pPr>
              <w:jc w:val="right"/>
              <w:ind w:right="1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820" w:type="dxa"/>
            <w:vAlign w:val="bottom"/>
            <w:tcBorders>
              <w:bottom w:val="single" w:sz="8" w:color="auto"/>
            </w:tcBorders>
            <w:gridSpan w:val="6"/>
            <w:shd w:val="clear" w:color="auto" w:fill="EAEAEA"/>
          </w:tcPr>
          <w:p>
            <w:pPr>
              <w:jc w:val="right"/>
              <w:ind w:right="820"/>
              <w:spacing w:after="0"/>
              <w:rPr>
                <w:sz w:val="20"/>
                <w:szCs w:val="20"/>
                <w:color w:val="auto"/>
              </w:rPr>
            </w:pPr>
            <w:r>
              <w:rPr>
                <w:rFonts w:ascii="Times New Roman" w:cs="Times New Roman" w:eastAsia="Times New Roman" w:hAnsi="Times New Roman"/>
                <w:sz w:val="16"/>
                <w:szCs w:val="16"/>
                <w:color w:val="auto"/>
                <w:shd w:val="clear" w:color="auto" w:fill="EAEAEA"/>
              </w:rPr>
              <w:t>(1,015</w:t>
            </w:r>
          </w:p>
        </w:tc>
        <w:tc>
          <w:tcPr>
            <w:tcW w:w="8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0" w:type="dxa"/>
            <w:vAlign w:val="bottom"/>
          </w:tcPr>
          <w:p>
            <w:pPr>
              <w:spacing w:after="0"/>
              <w:rPr>
                <w:sz w:val="1"/>
                <w:szCs w:val="1"/>
                <w:color w:val="auto"/>
              </w:rPr>
            </w:pPr>
          </w:p>
        </w:tc>
      </w:tr>
      <w:tr>
        <w:trPr>
          <w:trHeight w:val="176"/>
        </w:trPr>
        <w:tc>
          <w:tcPr>
            <w:tcW w:w="11160" w:type="dxa"/>
            <w:vAlign w:val="bottom"/>
            <w:gridSpan w:val="65"/>
          </w:tcPr>
          <w:p>
            <w:pPr>
              <w:spacing w:after="0" w:line="176" w:lineRule="exact"/>
              <w:rPr>
                <w:sz w:val="20"/>
                <w:szCs w:val="20"/>
                <w:color w:val="auto"/>
              </w:rPr>
            </w:pPr>
            <w:r>
              <w:rPr>
                <w:rFonts w:ascii="Times New Roman" w:cs="Times New Roman" w:eastAsia="Times New Roman" w:hAnsi="Times New Roman"/>
                <w:sz w:val="16"/>
                <w:szCs w:val="16"/>
                <w:color w:val="auto"/>
              </w:rPr>
              <w:t>Balance at December</w:t>
            </w:r>
          </w:p>
        </w:tc>
        <w:tc>
          <w:tcPr>
            <w:tcW w:w="0" w:type="dxa"/>
            <w:vAlign w:val="bottom"/>
          </w:tcPr>
          <w:p>
            <w:pPr>
              <w:spacing w:after="0"/>
              <w:rPr>
                <w:sz w:val="1"/>
                <w:szCs w:val="1"/>
                <w:color w:val="auto"/>
              </w:rPr>
            </w:pPr>
          </w:p>
        </w:tc>
      </w:tr>
      <w:tr>
        <w:trPr>
          <w:trHeight w:val="55"/>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31, 2023</w:t>
            </w:r>
          </w:p>
        </w:tc>
        <w:tc>
          <w:tcPr>
            <w:tcW w:w="1820" w:type="dxa"/>
            <w:vAlign w:val="bottom"/>
            <w:gridSpan w:val="5"/>
          </w:tcPr>
          <w:p>
            <w:pPr>
              <w:spacing w:after="0"/>
              <w:rPr>
                <w:sz w:val="4"/>
                <w:szCs w:val="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4"/>
          </w:tcPr>
          <w:p>
            <w:pPr>
              <w:spacing w:after="0"/>
              <w:rPr>
                <w:sz w:val="4"/>
                <w:szCs w:val="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5"/>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tcPr>
          <w:p>
            <w:pPr>
              <w:spacing w:after="0"/>
              <w:rPr>
                <w:sz w:val="4"/>
                <w:szCs w:val="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5"/>
          </w:tcPr>
          <w:p>
            <w:pPr>
              <w:spacing w:after="0"/>
              <w:rPr>
                <w:sz w:val="4"/>
                <w:szCs w:val="4"/>
                <w:color w:val="auto"/>
              </w:rPr>
            </w:pPr>
          </w:p>
        </w:tc>
        <w:tc>
          <w:tcPr>
            <w:tcW w:w="260" w:type="dxa"/>
            <w:vAlign w:val="bottom"/>
            <w:vMerge w:val="restart"/>
          </w:tcPr>
          <w:p>
            <w:pPr>
              <w:spacing w:after="0"/>
              <w:rPr>
                <w:sz w:val="4"/>
                <w:szCs w:val="4"/>
                <w:color w:val="auto"/>
              </w:rPr>
            </w:pPr>
          </w:p>
        </w:tc>
        <w:tc>
          <w:tcPr>
            <w:tcW w:w="400" w:type="dxa"/>
            <w:vAlign w:val="bottom"/>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0" w:type="dxa"/>
            <w:vAlign w:val="bottom"/>
            <w:gridSpan w:val="3"/>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vMerge w:val="restart"/>
          </w:tcPr>
          <w:p>
            <w:pPr>
              <w:spacing w:after="0"/>
              <w:rPr>
                <w:sz w:val="4"/>
                <w:szCs w:val="4"/>
                <w:color w:val="auto"/>
              </w:rPr>
            </w:pPr>
          </w:p>
        </w:tc>
        <w:tc>
          <w:tcPr>
            <w:tcW w:w="580" w:type="dxa"/>
            <w:vAlign w:val="bottom"/>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gridSpan w:val="2"/>
          </w:tcPr>
          <w:p>
            <w:pPr>
              <w:spacing w:after="0"/>
              <w:rPr>
                <w:sz w:val="4"/>
                <w:szCs w:val="4"/>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0" w:type="dxa"/>
            <w:vAlign w:val="bottom"/>
            <w:gridSpan w:val="3"/>
            <w:vMerge w:val="restart"/>
          </w:tcPr>
          <w:p>
            <w:pPr>
              <w:jc w:val="right"/>
              <w:spacing w:after="0" w:line="138" w:lineRule="exact"/>
              <w:rPr>
                <w:sz w:val="20"/>
                <w:szCs w:val="20"/>
                <w:color w:val="auto"/>
              </w:rPr>
            </w:pPr>
            <w:r>
              <w:rPr>
                <w:rFonts w:ascii="Times New Roman" w:cs="Times New Roman" w:eastAsia="Times New Roman" w:hAnsi="Times New Roman"/>
                <w:sz w:val="15"/>
                <w:szCs w:val="15"/>
                <w:color w:val="auto"/>
                <w:highlight w:val="white"/>
                <w:w w:val="97"/>
              </w:rPr>
              <w:t>(6,843</w:t>
            </w: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80" w:type="dxa"/>
            <w:vAlign w:val="bottom"/>
            <w:gridSpan w:val="4"/>
            <w:vMerge w:val="restart"/>
          </w:tcPr>
          <w:p>
            <w:pPr>
              <w:jc w:val="right"/>
              <w:ind w:right="20"/>
              <w:spacing w:after="0" w:line="138" w:lineRule="exact"/>
              <w:rPr>
                <w:sz w:val="20"/>
                <w:szCs w:val="20"/>
                <w:color w:val="auto"/>
              </w:rPr>
            </w:pPr>
            <w:r>
              <w:rPr>
                <w:rFonts w:ascii="Times New Roman" w:cs="Times New Roman" w:eastAsia="Times New Roman" w:hAnsi="Times New Roman"/>
                <w:sz w:val="15"/>
                <w:szCs w:val="15"/>
                <w:color w:val="auto"/>
                <w:highlight w:val="white"/>
              </w:rPr>
              <w:t>(411,750</w:t>
            </w:r>
          </w:p>
        </w:tc>
        <w:tc>
          <w:tcPr>
            <w:tcW w:w="20" w:type="dxa"/>
            <w:vAlign w:val="bottom"/>
            <w:vMerge w:val="continue"/>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65,472</w:t>
            </w:r>
          </w:p>
        </w:tc>
        <w:tc>
          <w:tcPr>
            <w:tcW w:w="2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6,547</w:t>
            </w:r>
          </w:p>
        </w:tc>
        <w:tc>
          <w:tcPr>
            <w:tcW w:w="2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863,963</w:t>
            </w:r>
          </w:p>
        </w:tc>
        <w:tc>
          <w:tcPr>
            <w:tcW w:w="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35,006</w:t>
            </w:r>
          </w:p>
        </w:tc>
        <w:tc>
          <w:tcPr>
            <w:tcW w:w="2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2,691,665</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6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4"/>
                <w:szCs w:val="14"/>
                <w:color w:val="auto"/>
              </w:rPr>
              <w:t>1,246</w:t>
            </w: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gridSpan w:val="4"/>
          </w:tcPr>
          <w:p>
            <w:pPr>
              <w:jc w:val="right"/>
              <w:ind w:right="20"/>
              <w:spacing w:after="0" w:line="124" w:lineRule="exact"/>
              <w:rPr>
                <w:sz w:val="20"/>
                <w:szCs w:val="20"/>
                <w:color w:val="auto"/>
              </w:rPr>
            </w:pPr>
            <w:r>
              <w:rPr>
                <w:rFonts w:ascii="Times New Roman" w:cs="Times New Roman" w:eastAsia="Times New Roman" w:hAnsi="Times New Roman"/>
                <w:sz w:val="14"/>
                <w:szCs w:val="14"/>
                <w:color w:val="auto"/>
                <w:highlight w:val="white"/>
              </w:rPr>
              <w:t>3,186,677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00" w:type="dxa"/>
            <w:vAlign w:val="bottom"/>
            <w:tcBorders>
              <w:top w:val="single" w:sz="8" w:color="EAEAEA"/>
              <w:bottom w:val="single" w:sz="8" w:color="EAEAEA"/>
            </w:tcBorders>
            <w:gridSpan w:val="3"/>
            <w:shd w:val="clear" w:color="auto" w:fill="EAEAEA"/>
          </w:tcPr>
          <w:p>
            <w:pPr>
              <w:ind w:left="20"/>
              <w:spacing w:after="0" w:line="162" w:lineRule="exact"/>
              <w:rPr>
                <w:sz w:val="20"/>
                <w:szCs w:val="20"/>
                <w:color w:val="auto"/>
              </w:rPr>
            </w:pPr>
            <w:r>
              <w:rPr>
                <w:rFonts w:ascii="Times New Roman" w:cs="Times New Roman" w:eastAsia="Times New Roman" w:hAnsi="Times New Roman"/>
                <w:sz w:val="16"/>
                <w:szCs w:val="16"/>
                <w:color w:val="auto"/>
                <w:shd w:val="clear" w:color="auto" w:fill="EAEAEA"/>
              </w:rPr>
              <w:t>Stock option exercises</w:t>
            </w:r>
          </w:p>
        </w:tc>
        <w:tc>
          <w:tcPr>
            <w:tcW w:w="680" w:type="dxa"/>
            <w:vAlign w:val="bottom"/>
            <w:tcBorders>
              <w:top w:val="single" w:sz="8" w:color="auto"/>
              <w:bottom w:val="single" w:sz="8" w:color="EAEAEA"/>
            </w:tcBorders>
            <w:gridSpan w:val="3"/>
            <w:shd w:val="clear" w:color="auto" w:fill="EAEAEA"/>
          </w:tcPr>
          <w:p>
            <w:pPr>
              <w:spacing w:after="0"/>
              <w:rPr>
                <w:sz w:val="15"/>
                <w:szCs w:val="15"/>
                <w:color w:val="auto"/>
              </w:rPr>
            </w:pPr>
          </w:p>
        </w:tc>
        <w:tc>
          <w:tcPr>
            <w:tcW w:w="240" w:type="dxa"/>
            <w:vAlign w:val="bottom"/>
            <w:tcBorders>
              <w:top w:val="single" w:sz="8" w:color="EAEAEA"/>
              <w:bottom w:val="single" w:sz="8" w:color="EAEAEA"/>
            </w:tcBorders>
            <w:gridSpan w:val="2"/>
            <w:shd w:val="clear" w:color="auto" w:fill="EAEAEA"/>
          </w:tcPr>
          <w:p>
            <w:pPr>
              <w:spacing w:after="0"/>
              <w:rPr>
                <w:sz w:val="15"/>
                <w:szCs w:val="15"/>
                <w:color w:val="auto"/>
              </w:rPr>
            </w:pPr>
          </w:p>
        </w:tc>
        <w:tc>
          <w:tcPr>
            <w:tcW w:w="680" w:type="dxa"/>
            <w:vAlign w:val="bottom"/>
            <w:tcBorders>
              <w:top w:val="single" w:sz="8" w:color="auto"/>
              <w:bottom w:val="single" w:sz="8" w:color="EAEAEA"/>
            </w:tcBorders>
            <w:gridSpan w:val="5"/>
            <w:shd w:val="clear" w:color="auto" w:fill="EAEAEA"/>
          </w:tcPr>
          <w:p>
            <w:pPr>
              <w:spacing w:after="0"/>
              <w:rPr>
                <w:sz w:val="15"/>
                <w:szCs w:val="15"/>
                <w:color w:val="auto"/>
              </w:rPr>
            </w:pPr>
          </w:p>
        </w:tc>
        <w:tc>
          <w:tcPr>
            <w:tcW w:w="220" w:type="dxa"/>
            <w:vAlign w:val="bottom"/>
            <w:tcBorders>
              <w:top w:val="single" w:sz="8" w:color="EAEAEA"/>
              <w:bottom w:val="single" w:sz="8" w:color="EAEAEA"/>
            </w:tcBorders>
            <w:shd w:val="clear" w:color="auto" w:fill="EAEAEA"/>
          </w:tcPr>
          <w:p>
            <w:pPr>
              <w:spacing w:after="0"/>
              <w:rPr>
                <w:sz w:val="15"/>
                <w:szCs w:val="15"/>
                <w:color w:val="auto"/>
              </w:rPr>
            </w:pPr>
          </w:p>
        </w:tc>
        <w:tc>
          <w:tcPr>
            <w:tcW w:w="920" w:type="dxa"/>
            <w:vAlign w:val="bottom"/>
            <w:tcBorders>
              <w:top w:val="single" w:sz="8" w:color="auto"/>
              <w:bottom w:val="single" w:sz="8" w:color="EAEAEA"/>
            </w:tcBorders>
            <w:gridSpan w:val="5"/>
            <w:shd w:val="clear" w:color="auto" w:fill="EAEAEA"/>
          </w:tcPr>
          <w:p>
            <w:pPr>
              <w:jc w:val="right"/>
              <w:ind w:right="920"/>
              <w:spacing w:after="0"/>
              <w:rPr>
                <w:sz w:val="20"/>
                <w:szCs w:val="20"/>
                <w:color w:val="auto"/>
              </w:rPr>
            </w:pPr>
            <w:r>
              <w:rPr>
                <w:rFonts w:ascii="Times New Roman" w:cs="Times New Roman" w:eastAsia="Times New Roman" w:hAnsi="Times New Roman"/>
                <w:sz w:val="16"/>
                <w:szCs w:val="16"/>
                <w:color w:val="auto"/>
              </w:rPr>
              <w:t>1,833</w:t>
            </w:r>
          </w:p>
        </w:tc>
        <w:tc>
          <w:tcPr>
            <w:tcW w:w="220" w:type="dxa"/>
            <w:vAlign w:val="bottom"/>
            <w:tcBorders>
              <w:top w:val="single" w:sz="8" w:color="EAEAEA"/>
              <w:bottom w:val="single" w:sz="8" w:color="EAEAEA"/>
            </w:tcBorders>
            <w:shd w:val="clear" w:color="auto" w:fill="EAEAEA"/>
          </w:tcPr>
          <w:p>
            <w:pPr>
              <w:spacing w:after="0"/>
              <w:rPr>
                <w:sz w:val="15"/>
                <w:szCs w:val="15"/>
                <w:color w:val="auto"/>
              </w:rPr>
            </w:pPr>
          </w:p>
        </w:tc>
        <w:tc>
          <w:tcPr>
            <w:tcW w:w="1140" w:type="dxa"/>
            <w:vAlign w:val="bottom"/>
            <w:tcBorders>
              <w:top w:val="single" w:sz="8" w:color="auto"/>
              <w:bottom w:val="single" w:sz="8" w:color="EAEAEA"/>
            </w:tcBorders>
            <w:gridSpan w:val="4"/>
            <w:shd w:val="clear" w:color="auto" w:fill="EAEAEA"/>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EAEAEA"/>
              <w:bottom w:val="single" w:sz="8" w:color="EAEAEA"/>
            </w:tcBorders>
            <w:shd w:val="clear" w:color="auto" w:fill="EAEAEA"/>
          </w:tcPr>
          <w:p>
            <w:pPr>
              <w:spacing w:after="0"/>
              <w:rPr>
                <w:sz w:val="15"/>
                <w:szCs w:val="15"/>
                <w:color w:val="auto"/>
              </w:rPr>
            </w:pPr>
          </w:p>
        </w:tc>
        <w:tc>
          <w:tcPr>
            <w:tcW w:w="800" w:type="dxa"/>
            <w:vAlign w:val="bottom"/>
            <w:tcBorders>
              <w:top w:val="single" w:sz="8" w:color="auto"/>
              <w:bottom w:val="single" w:sz="8" w:color="EAEAEA"/>
            </w:tcBorders>
            <w:gridSpan w:val="5"/>
            <w:shd w:val="clear" w:color="auto" w:fill="EAEAEA"/>
          </w:tcPr>
          <w:p>
            <w:pPr>
              <w:spacing w:after="0"/>
              <w:rPr>
                <w:sz w:val="15"/>
                <w:szCs w:val="15"/>
                <w:color w:val="auto"/>
              </w:rPr>
            </w:pPr>
          </w:p>
        </w:tc>
        <w:tc>
          <w:tcPr>
            <w:tcW w:w="220" w:type="dxa"/>
            <w:vAlign w:val="bottom"/>
            <w:tcBorders>
              <w:top w:val="single" w:sz="8" w:color="EAEAEA"/>
              <w:bottom w:val="single" w:sz="8" w:color="EAEAEA"/>
            </w:tcBorders>
            <w:shd w:val="clear" w:color="auto" w:fill="EAEAEA"/>
          </w:tcPr>
          <w:p>
            <w:pPr>
              <w:spacing w:after="0"/>
              <w:rPr>
                <w:sz w:val="15"/>
                <w:szCs w:val="15"/>
                <w:color w:val="auto"/>
              </w:rPr>
            </w:pPr>
          </w:p>
        </w:tc>
        <w:tc>
          <w:tcPr>
            <w:tcW w:w="700" w:type="dxa"/>
            <w:vAlign w:val="bottom"/>
            <w:tcBorders>
              <w:top w:val="single" w:sz="8" w:color="auto"/>
              <w:bottom w:val="single" w:sz="8" w:color="EAEAEA"/>
            </w:tcBorders>
            <w:gridSpan w:val="6"/>
            <w:shd w:val="clear" w:color="auto" w:fill="EAEAEA"/>
          </w:tcPr>
          <w:p>
            <w:pPr>
              <w:jc w:val="right"/>
              <w:ind w:right="700"/>
              <w:spacing w:after="0"/>
              <w:rPr>
                <w:sz w:val="20"/>
                <w:szCs w:val="20"/>
                <w:color w:val="auto"/>
              </w:rPr>
            </w:pPr>
            <w:r>
              <w:rPr>
                <w:rFonts w:ascii="Times New Roman" w:cs="Times New Roman" w:eastAsia="Times New Roman" w:hAnsi="Times New Roman"/>
                <w:sz w:val="16"/>
                <w:szCs w:val="16"/>
                <w:color w:val="auto"/>
                <w:shd w:val="clear" w:color="auto" w:fill="EAEAEA"/>
              </w:rPr>
              <w:t>128</w:t>
            </w:r>
          </w:p>
        </w:tc>
        <w:tc>
          <w:tcPr>
            <w:tcW w:w="220" w:type="dxa"/>
            <w:vAlign w:val="bottom"/>
            <w:tcBorders>
              <w:top w:val="single" w:sz="8" w:color="EAEAEA"/>
              <w:bottom w:val="single" w:sz="8" w:color="EAEAEA"/>
            </w:tcBorders>
            <w:gridSpan w:val="4"/>
            <w:shd w:val="clear" w:color="auto" w:fill="EAEAEA"/>
          </w:tcPr>
          <w:p>
            <w:pPr>
              <w:spacing w:after="0"/>
              <w:rPr>
                <w:sz w:val="15"/>
                <w:szCs w:val="15"/>
                <w:color w:val="auto"/>
              </w:rPr>
            </w:pPr>
          </w:p>
        </w:tc>
        <w:tc>
          <w:tcPr>
            <w:tcW w:w="800" w:type="dxa"/>
            <w:vAlign w:val="bottom"/>
            <w:tcBorders>
              <w:top w:val="single" w:sz="8" w:color="auto"/>
              <w:bottom w:val="single" w:sz="8" w:color="EAEAEA"/>
            </w:tcBorders>
            <w:gridSpan w:val="7"/>
            <w:shd w:val="clear" w:color="auto" w:fill="EAEAEA"/>
          </w:tcPr>
          <w:p>
            <w:pPr>
              <w:jc w:val="right"/>
              <w:ind w:right="800"/>
              <w:spacing w:after="0"/>
              <w:rPr>
                <w:sz w:val="20"/>
                <w:szCs w:val="20"/>
                <w:color w:val="auto"/>
              </w:rPr>
            </w:pPr>
            <w:r>
              <w:rPr>
                <w:rFonts w:ascii="Times New Roman" w:cs="Times New Roman" w:eastAsia="Times New Roman" w:hAnsi="Times New Roman"/>
                <w:sz w:val="16"/>
                <w:szCs w:val="16"/>
                <w:color w:val="auto"/>
                <w:shd w:val="clear" w:color="auto" w:fill="EAEAEA"/>
              </w:rPr>
              <w:t>7,583</w:t>
            </w:r>
          </w:p>
        </w:tc>
        <w:tc>
          <w:tcPr>
            <w:tcW w:w="220" w:type="dxa"/>
            <w:vAlign w:val="bottom"/>
            <w:tcBorders>
              <w:top w:val="single" w:sz="8" w:color="EAEAEA"/>
              <w:bottom w:val="single" w:sz="8" w:color="EAEAEA"/>
            </w:tcBorders>
            <w:gridSpan w:val="2"/>
            <w:shd w:val="clear" w:color="auto" w:fill="EAEAEA"/>
          </w:tcPr>
          <w:p>
            <w:pPr>
              <w:spacing w:after="0"/>
              <w:rPr>
                <w:sz w:val="15"/>
                <w:szCs w:val="15"/>
                <w:color w:val="auto"/>
              </w:rPr>
            </w:pPr>
          </w:p>
        </w:tc>
        <w:tc>
          <w:tcPr>
            <w:tcW w:w="1060" w:type="dxa"/>
            <w:vAlign w:val="bottom"/>
            <w:tcBorders>
              <w:top w:val="single" w:sz="8" w:color="auto"/>
              <w:bottom w:val="single" w:sz="8" w:color="EAEAEA"/>
            </w:tcBorders>
            <w:gridSpan w:val="5"/>
            <w:shd w:val="clear" w:color="auto" w:fill="EAEAEA"/>
          </w:tcPr>
          <w:p>
            <w:pPr>
              <w:spacing w:after="0"/>
              <w:rPr>
                <w:sz w:val="15"/>
                <w:szCs w:val="15"/>
                <w:color w:val="auto"/>
              </w:rPr>
            </w:pPr>
          </w:p>
        </w:tc>
        <w:tc>
          <w:tcPr>
            <w:tcW w:w="220" w:type="dxa"/>
            <w:vAlign w:val="bottom"/>
            <w:tcBorders>
              <w:top w:val="single" w:sz="8" w:color="EAEAEA"/>
              <w:bottom w:val="single" w:sz="8" w:color="EAEAEA"/>
            </w:tcBorders>
            <w:shd w:val="clear" w:color="auto" w:fill="EAEAEA"/>
          </w:tcPr>
          <w:p>
            <w:pPr>
              <w:spacing w:after="0"/>
              <w:rPr>
                <w:sz w:val="15"/>
                <w:szCs w:val="15"/>
                <w:color w:val="auto"/>
              </w:rPr>
            </w:pPr>
          </w:p>
        </w:tc>
        <w:tc>
          <w:tcPr>
            <w:tcW w:w="820" w:type="dxa"/>
            <w:vAlign w:val="bottom"/>
            <w:tcBorders>
              <w:top w:val="single" w:sz="8" w:color="auto"/>
              <w:bottom w:val="single" w:sz="8" w:color="EAEAEA"/>
            </w:tcBorders>
            <w:gridSpan w:val="6"/>
            <w:shd w:val="clear" w:color="auto" w:fill="EAEAEA"/>
          </w:tcPr>
          <w:p>
            <w:pPr>
              <w:jc w:val="right"/>
              <w:ind w:right="820"/>
              <w:spacing w:after="0"/>
              <w:rPr>
                <w:sz w:val="20"/>
                <w:szCs w:val="20"/>
                <w:color w:val="auto"/>
              </w:rPr>
            </w:pPr>
            <w:r>
              <w:rPr>
                <w:rFonts w:ascii="Times New Roman" w:cs="Times New Roman" w:eastAsia="Times New Roman" w:hAnsi="Times New Roman"/>
                <w:sz w:val="16"/>
                <w:szCs w:val="16"/>
                <w:color w:val="auto"/>
                <w:shd w:val="clear" w:color="auto" w:fill="EAEAEA"/>
              </w:rPr>
              <w:t>9,416</w:t>
            </w:r>
          </w:p>
        </w:tc>
        <w:tc>
          <w:tcPr>
            <w:tcW w:w="80" w:type="dxa"/>
            <w:vAlign w:val="bottom"/>
            <w:tcBorders>
              <w:top w:val="single" w:sz="8" w:color="EAEAEA"/>
              <w:bottom w:val="single" w:sz="8" w:color="EAEAEA"/>
            </w:tcBorders>
            <w:gridSpan w:val="2"/>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160" w:type="dxa"/>
            <w:vAlign w:val="bottom"/>
            <w:gridSpan w:val="65"/>
          </w:tcPr>
          <w:p>
            <w:pPr>
              <w:ind w:left="20"/>
              <w:spacing w:after="0" w:line="183" w:lineRule="exact"/>
              <w:rPr>
                <w:sz w:val="20"/>
                <w:szCs w:val="20"/>
                <w:color w:val="auto"/>
              </w:rPr>
            </w:pPr>
            <w:r>
              <w:rPr>
                <w:rFonts w:ascii="Times New Roman" w:cs="Times New Roman" w:eastAsia="Times New Roman" w:hAnsi="Times New Roman"/>
                <w:sz w:val="16"/>
                <w:szCs w:val="16"/>
                <w:color w:val="auto"/>
              </w:rPr>
              <w:t>Issuance of stock for</w:t>
            </w:r>
          </w:p>
        </w:tc>
        <w:tc>
          <w:tcPr>
            <w:tcW w:w="0" w:type="dxa"/>
            <w:vAlign w:val="bottom"/>
          </w:tcPr>
          <w:p>
            <w:pPr>
              <w:spacing w:after="0"/>
              <w:rPr>
                <w:sz w:val="1"/>
                <w:szCs w:val="1"/>
                <w:color w:val="auto"/>
              </w:rPr>
            </w:pPr>
          </w:p>
        </w:tc>
      </w:tr>
      <w:tr>
        <w:trPr>
          <w:trHeight w:val="183"/>
        </w:trPr>
        <w:tc>
          <w:tcPr>
            <w:tcW w:w="704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equity awards, net of</w:t>
            </w:r>
          </w:p>
        </w:tc>
        <w:tc>
          <w:tcPr>
            <w:tcW w:w="6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208</w:t>
            </w:r>
          </w:p>
        </w:tc>
        <w:tc>
          <w:tcPr>
            <w:tcW w:w="320" w:type="dxa"/>
            <w:vAlign w:val="bottom"/>
            <w:gridSpan w:val="6"/>
          </w:tcPr>
          <w:p>
            <w:pPr>
              <w:spacing w:after="0"/>
              <w:rPr>
                <w:sz w:val="15"/>
                <w:szCs w:val="15"/>
                <w:color w:val="auto"/>
              </w:rPr>
            </w:pP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24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forfeitures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(12,582 )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00" w:type="dxa"/>
            <w:vAlign w:val="bottom"/>
            <w:gridSpan w:val="35"/>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Tax withholdings on</w:t>
            </w:r>
          </w:p>
        </w:tc>
        <w:tc>
          <w:tcPr>
            <w:tcW w:w="220" w:type="dxa"/>
            <w:vAlign w:val="bottom"/>
            <w:gridSpan w:val="2"/>
            <w:vMerge w:val="restart"/>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84"/>
                <w:shd w:val="clear" w:color="auto" w:fill="EAEAEA"/>
              </w:rPr>
              <w:t>(67</w:t>
            </w:r>
          </w:p>
        </w:tc>
        <w:tc>
          <w:tcPr>
            <w:tcW w:w="40" w:type="dxa"/>
            <w:vAlign w:val="bottom"/>
            <w:gridSpan w:val="2"/>
            <w:shd w:val="clear" w:color="auto" w:fill="EAEAEA"/>
          </w:tcPr>
          <w:p>
            <w:pPr>
              <w:spacing w:after="0"/>
              <w:rPr>
                <w:sz w:val="17"/>
                <w:szCs w:val="17"/>
                <w:color w:val="auto"/>
              </w:rPr>
            </w:pPr>
          </w:p>
        </w:tc>
        <w:tc>
          <w:tcPr>
            <w:tcW w:w="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540" w:type="dxa"/>
            <w:vAlign w:val="bottom"/>
            <w:gridSpan w:val="5"/>
            <w:shd w:val="clear" w:color="auto" w:fill="EAEAEA"/>
          </w:tcPr>
          <w:p>
            <w:pPr>
              <w:spacing w:after="0"/>
              <w:rPr>
                <w:sz w:val="17"/>
                <w:szCs w:val="17"/>
                <w:color w:val="auto"/>
              </w:rPr>
            </w:pPr>
          </w:p>
        </w:tc>
        <w:tc>
          <w:tcPr>
            <w:tcW w:w="40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1"/>
                <w:shd w:val="clear" w:color="auto" w:fill="EAEAEA"/>
              </w:rPr>
              <w:t>(5,398</w:t>
            </w:r>
          </w:p>
        </w:tc>
        <w:tc>
          <w:tcPr>
            <w:tcW w:w="40" w:type="dxa"/>
            <w:vAlign w:val="bottom"/>
            <w:gridSpan w:val="2"/>
            <w:shd w:val="clear" w:color="auto" w:fill="EAEAEA"/>
          </w:tcPr>
          <w:p>
            <w:pPr>
              <w:spacing w:after="0"/>
              <w:rPr>
                <w:sz w:val="17"/>
                <w:szCs w:val="17"/>
                <w:color w:val="auto"/>
              </w:rPr>
            </w:pPr>
          </w:p>
        </w:tc>
        <w:tc>
          <w:tcPr>
            <w:tcW w:w="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840" w:type="dxa"/>
            <w:vAlign w:val="bottom"/>
            <w:gridSpan w:val="11"/>
            <w:shd w:val="clear" w:color="auto" w:fill="EAEAEA"/>
          </w:tcPr>
          <w:p>
            <w:pPr>
              <w:spacing w:after="0"/>
              <w:rPr>
                <w:sz w:val="17"/>
                <w:szCs w:val="17"/>
                <w:color w:val="auto"/>
              </w:rPr>
            </w:pPr>
          </w:p>
        </w:tc>
        <w:tc>
          <w:tcPr>
            <w:tcW w:w="4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(5,398</w:t>
            </w:r>
          </w:p>
        </w:tc>
        <w:tc>
          <w:tcPr>
            <w:tcW w:w="20" w:type="dxa"/>
            <w:vAlign w:val="bottom"/>
            <w:shd w:val="clear" w:color="auto" w:fill="EAEAEA"/>
          </w:tcPr>
          <w:p>
            <w:pPr>
              <w:spacing w:after="0"/>
              <w:rPr>
                <w:sz w:val="17"/>
                <w:szCs w:val="17"/>
                <w:color w:val="auto"/>
              </w:rPr>
            </w:pPr>
          </w:p>
        </w:tc>
        <w:tc>
          <w:tcPr>
            <w:tcW w:w="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500" w:type="dxa"/>
            <w:vAlign w:val="bottom"/>
            <w:gridSpan w:val="35"/>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equity award vesting</w:t>
            </w:r>
          </w:p>
        </w:tc>
        <w:tc>
          <w:tcPr>
            <w:tcW w:w="220" w:type="dxa"/>
            <w:vAlign w:val="bottom"/>
            <w:gridSpan w:val="2"/>
            <w:vMerge w:val="continue"/>
            <w:shd w:val="clear" w:color="auto" w:fill="EAEAEA"/>
          </w:tcPr>
          <w:p>
            <w:pPr>
              <w:spacing w:after="0"/>
              <w:rPr>
                <w:sz w:val="16"/>
                <w:szCs w:val="16"/>
                <w:color w:val="auto"/>
              </w:rPr>
            </w:pPr>
          </w:p>
        </w:tc>
        <w:tc>
          <w:tcPr>
            <w:tcW w:w="40" w:type="dxa"/>
            <w:vAlign w:val="bottom"/>
            <w:gridSpan w:val="2"/>
            <w:shd w:val="clear" w:color="auto" w:fill="EAEAEA"/>
          </w:tcPr>
          <w:p>
            <w:pPr>
              <w:spacing w:after="0"/>
              <w:rPr>
                <w:sz w:val="16"/>
                <w:szCs w:val="16"/>
                <w:color w:val="auto"/>
              </w:rPr>
            </w:pPr>
          </w:p>
        </w:tc>
        <w:tc>
          <w:tcPr>
            <w:tcW w:w="20" w:type="dxa"/>
            <w:vAlign w:val="bottom"/>
            <w:vMerge w:val="continue"/>
            <w:shd w:val="clear" w:color="auto" w:fill="EAEAEA"/>
          </w:tcPr>
          <w:p>
            <w:pPr>
              <w:spacing w:after="0"/>
              <w:rPr>
                <w:sz w:val="16"/>
                <w:szCs w:val="16"/>
                <w:color w:val="auto"/>
              </w:rPr>
            </w:pPr>
          </w:p>
        </w:tc>
        <w:tc>
          <w:tcPr>
            <w:tcW w:w="540" w:type="dxa"/>
            <w:vAlign w:val="bottom"/>
            <w:gridSpan w:val="5"/>
            <w:shd w:val="clear" w:color="auto" w:fill="EAEAEA"/>
          </w:tcPr>
          <w:p>
            <w:pPr>
              <w:spacing w:after="0"/>
              <w:rPr>
                <w:sz w:val="16"/>
                <w:szCs w:val="16"/>
                <w:color w:val="auto"/>
              </w:rPr>
            </w:pPr>
          </w:p>
        </w:tc>
        <w:tc>
          <w:tcPr>
            <w:tcW w:w="400" w:type="dxa"/>
            <w:vAlign w:val="bottom"/>
            <w:gridSpan w:val="2"/>
            <w:vMerge w:val="continue"/>
            <w:shd w:val="clear" w:color="auto" w:fill="EAEAEA"/>
          </w:tcPr>
          <w:p>
            <w:pPr>
              <w:spacing w:after="0"/>
              <w:rPr>
                <w:sz w:val="16"/>
                <w:szCs w:val="16"/>
                <w:color w:val="auto"/>
              </w:rPr>
            </w:pPr>
          </w:p>
        </w:tc>
        <w:tc>
          <w:tcPr>
            <w:tcW w:w="40" w:type="dxa"/>
            <w:vAlign w:val="bottom"/>
            <w:gridSpan w:val="2"/>
            <w:shd w:val="clear" w:color="auto" w:fill="EAEAEA"/>
          </w:tcPr>
          <w:p>
            <w:pPr>
              <w:spacing w:after="0"/>
              <w:rPr>
                <w:sz w:val="16"/>
                <w:szCs w:val="16"/>
                <w:color w:val="auto"/>
              </w:rPr>
            </w:pPr>
          </w:p>
        </w:tc>
        <w:tc>
          <w:tcPr>
            <w:tcW w:w="40" w:type="dxa"/>
            <w:vAlign w:val="bottom"/>
            <w:vMerge w:val="continue"/>
            <w:shd w:val="clear" w:color="auto" w:fill="EAEAEA"/>
          </w:tcPr>
          <w:p>
            <w:pPr>
              <w:spacing w:after="0"/>
              <w:rPr>
                <w:sz w:val="16"/>
                <w:szCs w:val="16"/>
                <w:color w:val="auto"/>
              </w:rPr>
            </w:pPr>
          </w:p>
        </w:tc>
        <w:tc>
          <w:tcPr>
            <w:tcW w:w="1840" w:type="dxa"/>
            <w:vAlign w:val="bottom"/>
            <w:gridSpan w:val="11"/>
            <w:shd w:val="clear" w:color="auto" w:fill="EAEAEA"/>
          </w:tcPr>
          <w:p>
            <w:pPr>
              <w:spacing w:after="0"/>
              <w:rPr>
                <w:sz w:val="16"/>
                <w:szCs w:val="16"/>
                <w:color w:val="auto"/>
              </w:rPr>
            </w:pPr>
          </w:p>
        </w:tc>
        <w:tc>
          <w:tcPr>
            <w:tcW w:w="420" w:type="dxa"/>
            <w:vAlign w:val="bottom"/>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vMerge w:val="continue"/>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00" w:type="dxa"/>
            <w:vAlign w:val="bottom"/>
            <w:gridSpan w:val="15"/>
          </w:tcPr>
          <w:p>
            <w:pPr>
              <w:spacing w:after="0" w:line="182" w:lineRule="exact"/>
              <w:rPr>
                <w:sz w:val="20"/>
                <w:szCs w:val="20"/>
                <w:color w:val="auto"/>
              </w:rPr>
            </w:pPr>
            <w:r>
              <w:rPr>
                <w:rFonts w:ascii="Times New Roman" w:cs="Times New Roman" w:eastAsia="Times New Roman" w:hAnsi="Times New Roman"/>
                <w:sz w:val="16"/>
                <w:szCs w:val="16"/>
                <w:color w:val="auto"/>
              </w:rPr>
              <w:t>Amortization of share-</w:t>
            </w:r>
          </w:p>
        </w:tc>
        <w:tc>
          <w:tcPr>
            <w:tcW w:w="8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15,549</w:t>
            </w:r>
          </w:p>
        </w:tc>
        <w:tc>
          <w:tcPr>
            <w:tcW w:w="5940" w:type="dxa"/>
            <w:vAlign w:val="bottom"/>
            <w:gridSpan w:val="39"/>
          </w:tcPr>
          <w:p>
            <w:pPr>
              <w:spacing w:after="0"/>
              <w:rPr>
                <w:sz w:val="15"/>
                <w:szCs w:val="15"/>
                <w:color w:val="auto"/>
              </w:rPr>
            </w:pPr>
          </w:p>
        </w:tc>
        <w:tc>
          <w:tcPr>
            <w:tcW w:w="7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15,549</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0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based compensation</w:t>
            </w:r>
          </w:p>
        </w:tc>
        <w:tc>
          <w:tcPr>
            <w:tcW w:w="840" w:type="dxa"/>
            <w:vAlign w:val="bottom"/>
            <w:gridSpan w:val="4"/>
            <w:vMerge w:val="continue"/>
          </w:tcPr>
          <w:p>
            <w:pPr>
              <w:spacing w:after="0"/>
              <w:rPr>
                <w:sz w:val="17"/>
                <w:szCs w:val="17"/>
                <w:color w:val="auto"/>
              </w:rPr>
            </w:pPr>
          </w:p>
        </w:tc>
        <w:tc>
          <w:tcPr>
            <w:tcW w:w="5940" w:type="dxa"/>
            <w:vAlign w:val="bottom"/>
            <w:gridSpan w:val="39"/>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160" w:type="dxa"/>
            <w:vAlign w:val="bottom"/>
            <w:gridSpan w:val="65"/>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Treasury stock</w:t>
            </w:r>
          </w:p>
        </w:tc>
        <w:tc>
          <w:tcPr>
            <w:tcW w:w="0" w:type="dxa"/>
            <w:vAlign w:val="bottom"/>
          </w:tcPr>
          <w:p>
            <w:pPr>
              <w:spacing w:after="0"/>
              <w:rPr>
                <w:sz w:val="1"/>
                <w:szCs w:val="1"/>
                <w:color w:val="auto"/>
              </w:rPr>
            </w:pPr>
          </w:p>
        </w:tc>
      </w:tr>
      <w:tr>
        <w:trPr>
          <w:trHeight w:val="184"/>
        </w:trPr>
        <w:tc>
          <w:tcPr>
            <w:tcW w:w="660" w:type="dxa"/>
            <w:vAlign w:val="bottom"/>
            <w:gridSpan w:val="2"/>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w w:val="98"/>
                <w:shd w:val="clear" w:color="auto" w:fill="EAEAEA"/>
              </w:rPr>
              <w:t>purchases</w:t>
            </w:r>
          </w:p>
        </w:tc>
        <w:tc>
          <w:tcPr>
            <w:tcW w:w="104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4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36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3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00" w:type="dxa"/>
            <w:vAlign w:val="bottom"/>
            <w:shd w:val="clear" w:color="auto" w:fill="EAEAEA"/>
          </w:tcPr>
          <w:p>
            <w:pPr>
              <w:spacing w:after="0"/>
              <w:rPr>
                <w:sz w:val="16"/>
                <w:szCs w:val="16"/>
                <w:color w:val="auto"/>
              </w:rPr>
            </w:pPr>
          </w:p>
        </w:tc>
        <w:tc>
          <w:tcPr>
            <w:tcW w:w="44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260" w:type="dxa"/>
            <w:vAlign w:val="bottom"/>
            <w:shd w:val="clear" w:color="auto" w:fill="EAEAEA"/>
          </w:tcPr>
          <w:p>
            <w:pPr>
              <w:spacing w:after="0"/>
              <w:rPr>
                <w:sz w:val="16"/>
                <w:szCs w:val="16"/>
                <w:color w:val="auto"/>
              </w:rPr>
            </w:pPr>
          </w:p>
        </w:tc>
        <w:tc>
          <w:tcPr>
            <w:tcW w:w="40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1"/>
                <w:shd w:val="clear" w:color="auto" w:fill="EAEAEA"/>
              </w:rPr>
              <w:t>(1,641</w:t>
            </w:r>
          </w:p>
        </w:tc>
        <w:tc>
          <w:tcPr>
            <w:tcW w:w="20" w:type="dxa"/>
            <w:vAlign w:val="bottom"/>
            <w:shd w:val="clear" w:color="auto" w:fill="EAEAEA"/>
          </w:tcPr>
          <w:p>
            <w:pPr>
              <w:spacing w:after="0"/>
              <w:rPr>
                <w:sz w:val="16"/>
                <w:szCs w:val="16"/>
                <w:color w:val="auto"/>
              </w:rPr>
            </w:pPr>
          </w:p>
        </w:tc>
        <w:tc>
          <w:tcPr>
            <w:tcW w:w="40" w:type="dxa"/>
            <w:vAlign w:val="bottom"/>
            <w:gridSpan w:val="2"/>
            <w:shd w:val="clear" w:color="auto" w:fill="EAEAEA"/>
          </w:tcPr>
          <w:p>
            <w:pPr>
              <w:spacing w:after="0"/>
              <w:rPr>
                <w:sz w:val="16"/>
                <w:szCs w:val="16"/>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80" w:type="dxa"/>
            <w:vAlign w:val="bottom"/>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94"/>
                <w:shd w:val="clear" w:color="auto" w:fill="EAEAEA"/>
              </w:rPr>
              <w:t>(174,574</w:t>
            </w:r>
          </w:p>
        </w:tc>
        <w:tc>
          <w:tcPr>
            <w:tcW w:w="20" w:type="dxa"/>
            <w:vAlign w:val="bottom"/>
            <w:shd w:val="clear" w:color="auto" w:fill="EAEAEA"/>
          </w:tcPr>
          <w:p>
            <w:pPr>
              <w:spacing w:after="0"/>
              <w:rPr>
                <w:sz w:val="16"/>
                <w:szCs w:val="16"/>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8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640" w:type="dxa"/>
            <w:vAlign w:val="bottom"/>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shd w:val="clear" w:color="auto" w:fill="EAEAEA"/>
              </w:rPr>
              <w:t>(174,574</w:t>
            </w: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160" w:type="dxa"/>
            <w:vAlign w:val="bottom"/>
            <w:gridSpan w:val="65"/>
          </w:tcPr>
          <w:p>
            <w:pPr>
              <w:spacing w:after="0" w:line="182" w:lineRule="exact"/>
              <w:rPr>
                <w:sz w:val="20"/>
                <w:szCs w:val="20"/>
                <w:color w:val="auto"/>
              </w:rPr>
            </w:pPr>
            <w:r>
              <w:rPr>
                <w:rFonts w:ascii="Times New Roman" w:cs="Times New Roman" w:eastAsia="Times New Roman" w:hAnsi="Times New Roman"/>
                <w:sz w:val="16"/>
                <w:szCs w:val="16"/>
                <w:color w:val="auto"/>
              </w:rPr>
              <w:t>Excise taxes on treasury</w:t>
            </w:r>
          </w:p>
        </w:tc>
        <w:tc>
          <w:tcPr>
            <w:tcW w:w="0" w:type="dxa"/>
            <w:vAlign w:val="bottom"/>
          </w:tcPr>
          <w:p>
            <w:pPr>
              <w:spacing w:after="0"/>
              <w:rPr>
                <w:sz w:val="1"/>
                <w:szCs w:val="1"/>
                <w:color w:val="auto"/>
              </w:rPr>
            </w:pPr>
          </w:p>
        </w:tc>
      </w:tr>
      <w:tr>
        <w:trPr>
          <w:trHeight w:val="200"/>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 purchases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(1,504 )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(1,504 )</w:t>
            </w:r>
          </w:p>
        </w:tc>
        <w:tc>
          <w:tcPr>
            <w:tcW w:w="0" w:type="dxa"/>
            <w:vAlign w:val="bottom"/>
          </w:tcPr>
          <w:p>
            <w:pPr>
              <w:spacing w:after="0"/>
              <w:rPr>
                <w:sz w:val="1"/>
                <w:szCs w:val="1"/>
                <w:color w:val="auto"/>
              </w:rPr>
            </w:pPr>
          </w:p>
        </w:tc>
      </w:tr>
      <w:tr>
        <w:trPr>
          <w:trHeight w:val="198"/>
        </w:trPr>
        <w:tc>
          <w:tcPr>
            <w:tcW w:w="5340" w:type="dxa"/>
            <w:vAlign w:val="bottom"/>
            <w:gridSpan w:val="22"/>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Total comprehensive</w:t>
            </w:r>
          </w:p>
        </w:tc>
        <w:tc>
          <w:tcPr>
            <w:tcW w:w="4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EAEAEA"/>
              </w:rPr>
              <w:t>36,186</w:t>
            </w:r>
          </w:p>
        </w:tc>
        <w:tc>
          <w:tcPr>
            <w:tcW w:w="500" w:type="dxa"/>
            <w:vAlign w:val="bottom"/>
            <w:gridSpan w:val="6"/>
            <w:shd w:val="clear" w:color="auto" w:fill="EAEAEA"/>
          </w:tcPr>
          <w:p>
            <w:pPr>
              <w:spacing w:after="0"/>
              <w:rPr>
                <w:sz w:val="17"/>
                <w:szCs w:val="17"/>
                <w:color w:val="auto"/>
              </w:rPr>
            </w:pPr>
          </w:p>
        </w:tc>
        <w:tc>
          <w:tcPr>
            <w:tcW w:w="5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222,935</w:t>
            </w:r>
          </w:p>
        </w:tc>
        <w:tc>
          <w:tcPr>
            <w:tcW w:w="3760" w:type="dxa"/>
            <w:vAlign w:val="bottom"/>
            <w:gridSpan w:val="30"/>
            <w:shd w:val="clear" w:color="auto" w:fill="EAEAEA"/>
          </w:tcPr>
          <w:p>
            <w:pPr>
              <w:spacing w:after="0"/>
              <w:rPr>
                <w:sz w:val="17"/>
                <w:szCs w:val="17"/>
                <w:color w:val="auto"/>
              </w:rPr>
            </w:pPr>
          </w:p>
        </w:tc>
        <w:tc>
          <w:tcPr>
            <w:tcW w:w="520" w:type="dxa"/>
            <w:vAlign w:val="bottom"/>
            <w:gridSpan w:val="3"/>
            <w:vMerge w:val="restart"/>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92"/>
                <w:shd w:val="clear" w:color="auto" w:fill="EAEAEA"/>
              </w:rPr>
              <w:t>323,082</w:t>
            </w:r>
          </w:p>
        </w:tc>
        <w:tc>
          <w:tcPr>
            <w:tcW w:w="80" w:type="dxa"/>
            <w:vAlign w:val="bottom"/>
            <w:gridSpan w:val="2"/>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00" w:type="dxa"/>
            <w:vAlign w:val="bottom"/>
            <w:gridSpan w:val="3"/>
            <w:shd w:val="clear" w:color="auto" w:fill="EAEAEA"/>
          </w:tcPr>
          <w:p>
            <w:pPr>
              <w:ind w:left="20"/>
              <w:spacing w:after="0" w:line="177" w:lineRule="exact"/>
              <w:rPr>
                <w:sz w:val="20"/>
                <w:szCs w:val="20"/>
                <w:color w:val="auto"/>
              </w:rPr>
            </w:pPr>
            <w:r>
              <w:rPr>
                <w:rFonts w:ascii="Times New Roman" w:cs="Times New Roman" w:eastAsia="Times New Roman" w:hAnsi="Times New Roman"/>
                <w:sz w:val="16"/>
                <w:szCs w:val="16"/>
                <w:color w:val="auto"/>
                <w:shd w:val="clear" w:color="auto" w:fill="EAEAEA"/>
              </w:rPr>
              <w:t>income, net of taxes</w:t>
            </w:r>
          </w:p>
        </w:tc>
        <w:tc>
          <w:tcPr>
            <w:tcW w:w="680" w:type="dxa"/>
            <w:vAlign w:val="bottom"/>
            <w:tcBorders>
              <w:bottom w:val="single" w:sz="8" w:color="auto"/>
            </w:tcBorders>
            <w:gridSpan w:val="3"/>
            <w:shd w:val="clear" w:color="auto" w:fill="EAEAEA"/>
          </w:tcPr>
          <w:p>
            <w:pPr>
              <w:spacing w:after="0"/>
              <w:rPr>
                <w:sz w:val="16"/>
                <w:szCs w:val="16"/>
                <w:color w:val="auto"/>
              </w:rPr>
            </w:pPr>
          </w:p>
        </w:tc>
        <w:tc>
          <w:tcPr>
            <w:tcW w:w="240" w:type="dxa"/>
            <w:vAlign w:val="bottom"/>
            <w:gridSpan w:val="2"/>
            <w:shd w:val="clear" w:color="auto" w:fill="EAEAEA"/>
          </w:tcPr>
          <w:p>
            <w:pPr>
              <w:spacing w:after="0"/>
              <w:rPr>
                <w:sz w:val="16"/>
                <w:szCs w:val="16"/>
                <w:color w:val="auto"/>
              </w:rPr>
            </w:pPr>
          </w:p>
        </w:tc>
        <w:tc>
          <w:tcPr>
            <w:tcW w:w="680" w:type="dxa"/>
            <w:vAlign w:val="bottom"/>
            <w:tcBorders>
              <w:bottom w:val="single" w:sz="8" w:color="auto"/>
            </w:tcBorders>
            <w:gridSpan w:val="5"/>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920" w:type="dxa"/>
            <w:vAlign w:val="bottom"/>
            <w:tcBorders>
              <w:bottom w:val="single" w:sz="8" w:color="auto"/>
            </w:tcBorders>
            <w:gridSpan w:val="5"/>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680" w:type="dxa"/>
            <w:vAlign w:val="bottom"/>
            <w:tcBorders>
              <w:bottom w:val="single" w:sz="8" w:color="auto"/>
            </w:tcBorders>
            <w:gridSpan w:val="2"/>
            <w:shd w:val="clear" w:color="auto" w:fill="EAEAEA"/>
          </w:tcPr>
          <w:p>
            <w:pPr>
              <w:spacing w:after="0"/>
              <w:rPr>
                <w:sz w:val="16"/>
                <w:szCs w:val="16"/>
                <w:color w:val="auto"/>
              </w:rPr>
            </w:pPr>
          </w:p>
        </w:tc>
        <w:tc>
          <w:tcPr>
            <w:tcW w:w="440" w:type="dxa"/>
            <w:vAlign w:val="bottom"/>
            <w:tcBorders>
              <w:bottom w:val="single" w:sz="8" w:color="auto"/>
            </w:tcBorders>
            <w:vMerge w:val="continue"/>
            <w:shd w:val="clear" w:color="auto" w:fill="EAEAEA"/>
          </w:tcPr>
          <w:p>
            <w:pPr>
              <w:spacing w:after="0"/>
              <w:rPr>
                <w:sz w:val="16"/>
                <w:szCs w:val="16"/>
                <w:color w:val="auto"/>
              </w:rPr>
            </w:pPr>
          </w:p>
        </w:tc>
        <w:tc>
          <w:tcPr>
            <w:tcW w:w="40" w:type="dxa"/>
            <w:vAlign w:val="bottom"/>
            <w:tcBorders>
              <w:bottom w:val="single" w:sz="8" w:color="auto"/>
            </w:tcBorders>
            <w:gridSpan w:val="2"/>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260" w:type="dxa"/>
            <w:vAlign w:val="bottom"/>
            <w:tcBorders>
              <w:bottom w:val="single" w:sz="8" w:color="auto"/>
            </w:tcBorders>
            <w:gridSpan w:val="3"/>
            <w:shd w:val="clear" w:color="auto" w:fill="EAEAEA"/>
          </w:tcPr>
          <w:p>
            <w:pPr>
              <w:spacing w:after="0"/>
              <w:rPr>
                <w:sz w:val="16"/>
                <w:szCs w:val="16"/>
                <w:color w:val="auto"/>
              </w:rPr>
            </w:pPr>
          </w:p>
        </w:tc>
        <w:tc>
          <w:tcPr>
            <w:tcW w:w="520" w:type="dxa"/>
            <w:vAlign w:val="bottom"/>
            <w:tcBorders>
              <w:bottom w:val="single" w:sz="8" w:color="auto"/>
            </w:tcBorders>
            <w:vMerge w:val="continue"/>
            <w:shd w:val="clear" w:color="auto" w:fill="EAEAEA"/>
          </w:tcPr>
          <w:p>
            <w:pPr>
              <w:spacing w:after="0"/>
              <w:rPr>
                <w:sz w:val="16"/>
                <w:szCs w:val="16"/>
                <w:color w:val="auto"/>
              </w:rPr>
            </w:pPr>
          </w:p>
        </w:tc>
        <w:tc>
          <w:tcPr>
            <w:tcW w:w="20" w:type="dxa"/>
            <w:vAlign w:val="bottom"/>
            <w:tcBorders>
              <w:bottom w:val="single" w:sz="8" w:color="auto"/>
            </w:tcBorders>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700" w:type="dxa"/>
            <w:vAlign w:val="bottom"/>
            <w:tcBorders>
              <w:bottom w:val="single" w:sz="8" w:color="auto"/>
            </w:tcBorders>
            <w:gridSpan w:val="6"/>
            <w:shd w:val="clear" w:color="auto" w:fill="EAEAEA"/>
          </w:tcPr>
          <w:p>
            <w:pPr>
              <w:spacing w:after="0"/>
              <w:rPr>
                <w:sz w:val="16"/>
                <w:szCs w:val="16"/>
                <w:color w:val="auto"/>
              </w:rPr>
            </w:pPr>
          </w:p>
        </w:tc>
        <w:tc>
          <w:tcPr>
            <w:tcW w:w="220" w:type="dxa"/>
            <w:vAlign w:val="bottom"/>
            <w:gridSpan w:val="4"/>
            <w:shd w:val="clear" w:color="auto" w:fill="EAEAEA"/>
          </w:tcPr>
          <w:p>
            <w:pPr>
              <w:spacing w:after="0"/>
              <w:rPr>
                <w:sz w:val="16"/>
                <w:szCs w:val="16"/>
                <w:color w:val="auto"/>
              </w:rPr>
            </w:pPr>
          </w:p>
        </w:tc>
        <w:tc>
          <w:tcPr>
            <w:tcW w:w="800" w:type="dxa"/>
            <w:vAlign w:val="bottom"/>
            <w:tcBorders>
              <w:bottom w:val="single" w:sz="8" w:color="auto"/>
            </w:tcBorders>
            <w:gridSpan w:val="7"/>
            <w:shd w:val="clear" w:color="auto" w:fill="EAEAEA"/>
          </w:tcPr>
          <w:p>
            <w:pPr>
              <w:spacing w:after="0"/>
              <w:rPr>
                <w:sz w:val="16"/>
                <w:szCs w:val="16"/>
                <w:color w:val="auto"/>
              </w:rPr>
            </w:pPr>
          </w:p>
        </w:tc>
        <w:tc>
          <w:tcPr>
            <w:tcW w:w="220" w:type="dxa"/>
            <w:vAlign w:val="bottom"/>
            <w:gridSpan w:val="2"/>
            <w:shd w:val="clear" w:color="auto" w:fill="EAEAEA"/>
          </w:tcPr>
          <w:p>
            <w:pPr>
              <w:spacing w:after="0"/>
              <w:rPr>
                <w:sz w:val="16"/>
                <w:szCs w:val="16"/>
                <w:color w:val="auto"/>
              </w:rPr>
            </w:pPr>
          </w:p>
        </w:tc>
        <w:tc>
          <w:tcPr>
            <w:tcW w:w="1060" w:type="dxa"/>
            <w:vAlign w:val="bottom"/>
            <w:tcBorders>
              <w:bottom w:val="single" w:sz="8" w:color="auto"/>
            </w:tcBorders>
            <w:gridSpan w:val="5"/>
            <w:shd w:val="clear" w:color="auto" w:fill="EAEAEA"/>
          </w:tcPr>
          <w:p>
            <w:pPr>
              <w:jc w:val="right"/>
              <w:ind w:right="1060"/>
              <w:spacing w:after="0"/>
              <w:rPr>
                <w:sz w:val="20"/>
                <w:szCs w:val="20"/>
                <w:color w:val="auto"/>
              </w:rPr>
            </w:pPr>
            <w:r>
              <w:rPr>
                <w:rFonts w:ascii="Times New Roman" w:cs="Times New Roman" w:eastAsia="Times New Roman" w:hAnsi="Times New Roman"/>
                <w:sz w:val="16"/>
                <w:szCs w:val="16"/>
                <w:color w:val="auto"/>
                <w:shd w:val="clear" w:color="auto" w:fill="EAEAEA"/>
              </w:rPr>
              <w:t>(30</w:t>
            </w:r>
          </w:p>
        </w:tc>
        <w:tc>
          <w:tcPr>
            <w:tcW w:w="220" w:type="dxa"/>
            <w:vAlign w:val="bottom"/>
            <w:shd w:val="clear" w:color="auto" w:fill="EAEAEA"/>
          </w:tcPr>
          <w:p>
            <w:pPr>
              <w:jc w:val="right"/>
              <w:ind w:right="1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300" w:type="dxa"/>
            <w:vAlign w:val="bottom"/>
            <w:tcBorders>
              <w:bottom w:val="single" w:sz="8" w:color="auto"/>
            </w:tcBorders>
            <w:gridSpan w:val="3"/>
            <w:shd w:val="clear" w:color="auto" w:fill="EAEAEA"/>
          </w:tcPr>
          <w:p>
            <w:pPr>
              <w:spacing w:after="0"/>
              <w:rPr>
                <w:sz w:val="16"/>
                <w:szCs w:val="16"/>
                <w:color w:val="auto"/>
              </w:rPr>
            </w:pPr>
          </w:p>
        </w:tc>
        <w:tc>
          <w:tcPr>
            <w:tcW w:w="520" w:type="dxa"/>
            <w:vAlign w:val="bottom"/>
            <w:tcBorders>
              <w:bottom w:val="single" w:sz="8" w:color="auto"/>
            </w:tcBorders>
            <w:gridSpan w:val="3"/>
            <w:vMerge w:val="continue"/>
            <w:shd w:val="clear" w:color="auto" w:fill="EAEAEA"/>
          </w:tcPr>
          <w:p>
            <w:pPr>
              <w:spacing w:after="0"/>
              <w:rPr>
                <w:sz w:val="16"/>
                <w:szCs w:val="16"/>
                <w:color w:val="auto"/>
              </w:rPr>
            </w:pPr>
          </w:p>
        </w:tc>
        <w:tc>
          <w:tcPr>
            <w:tcW w:w="80" w:type="dxa"/>
            <w:vAlign w:val="bottom"/>
            <w:gridSpan w:val="2"/>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160" w:type="dxa"/>
            <w:vAlign w:val="bottom"/>
            <w:gridSpan w:val="65"/>
          </w:tcPr>
          <w:p>
            <w:pPr>
              <w:spacing w:after="0" w:line="176" w:lineRule="exact"/>
              <w:rPr>
                <w:sz w:val="20"/>
                <w:szCs w:val="20"/>
                <w:color w:val="auto"/>
              </w:rPr>
            </w:pPr>
            <w:r>
              <w:rPr>
                <w:rFonts w:ascii="Times New Roman" w:cs="Times New Roman" w:eastAsia="Times New Roman" w:hAnsi="Times New Roman"/>
                <w:sz w:val="16"/>
                <w:szCs w:val="16"/>
                <w:color w:val="auto"/>
              </w:rPr>
              <w:t>Balance at December</w:t>
            </w:r>
          </w:p>
        </w:tc>
        <w:tc>
          <w:tcPr>
            <w:tcW w:w="0" w:type="dxa"/>
            <w:vAlign w:val="bottom"/>
          </w:tcPr>
          <w:p>
            <w:pPr>
              <w:spacing w:after="0"/>
              <w:rPr>
                <w:sz w:val="1"/>
                <w:szCs w:val="1"/>
                <w:color w:val="auto"/>
              </w:rPr>
            </w:pPr>
          </w:p>
        </w:tc>
      </w:tr>
      <w:tr>
        <w:trPr>
          <w:trHeight w:val="55"/>
        </w:trPr>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96"/>
              </w:rPr>
              <w:t>31, 2024</w:t>
            </w: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20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vMerge w:val="restart"/>
          </w:tcPr>
          <w:p>
            <w:pPr>
              <w:spacing w:after="0"/>
              <w:rPr>
                <w:sz w:val="4"/>
                <w:szCs w:val="4"/>
                <w:color w:val="auto"/>
              </w:rPr>
            </w:pPr>
          </w:p>
        </w:tc>
        <w:tc>
          <w:tcPr>
            <w:tcW w:w="200" w:type="dxa"/>
            <w:vAlign w:val="bottom"/>
            <w:gridSpan w:val="2"/>
            <w:vMerge w:val="restart"/>
          </w:tcPr>
          <w:p>
            <w:pPr>
              <w:spacing w:after="0"/>
              <w:rPr>
                <w:sz w:val="4"/>
                <w:szCs w:val="4"/>
                <w:color w:val="auto"/>
              </w:rPr>
            </w:pPr>
          </w:p>
        </w:tc>
        <w:tc>
          <w:tcPr>
            <w:tcW w:w="4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20" w:type="dxa"/>
            <w:vAlign w:val="bottom"/>
            <w:gridSpan w:val="4"/>
            <w:vMerge w:val="restart"/>
          </w:tcPr>
          <w:p>
            <w:pPr>
              <w:jc w:val="right"/>
              <w:ind w:right="20"/>
              <w:spacing w:after="0" w:line="138" w:lineRule="exact"/>
              <w:rPr>
                <w:sz w:val="20"/>
                <w:szCs w:val="20"/>
                <w:color w:val="auto"/>
              </w:rPr>
            </w:pPr>
            <w:r>
              <w:rPr>
                <w:rFonts w:ascii="Times New Roman" w:cs="Times New Roman" w:eastAsia="Times New Roman" w:hAnsi="Times New Roman"/>
                <w:sz w:val="15"/>
                <w:szCs w:val="15"/>
                <w:color w:val="auto"/>
                <w:highlight w:val="white"/>
                <w:w w:val="97"/>
              </w:rPr>
              <w:t>(8,215</w:t>
            </w:r>
          </w:p>
        </w:tc>
        <w:tc>
          <w:tcPr>
            <w:tcW w:w="40" w:type="dxa"/>
            <w:vAlign w:val="bottom"/>
            <w:gridSpan w:val="2"/>
            <w:vMerge w:val="continue"/>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60" w:type="dxa"/>
            <w:vAlign w:val="bottom"/>
            <w:gridSpan w:val="3"/>
            <w:vMerge w:val="restart"/>
          </w:tcPr>
          <w:p>
            <w:pPr>
              <w:jc w:val="right"/>
              <w:spacing w:after="0" w:line="138" w:lineRule="exact"/>
              <w:rPr>
                <w:sz w:val="20"/>
                <w:szCs w:val="20"/>
                <w:color w:val="auto"/>
              </w:rPr>
            </w:pPr>
            <w:r>
              <w:rPr>
                <w:rFonts w:ascii="Times New Roman" w:cs="Times New Roman" w:eastAsia="Times New Roman" w:hAnsi="Times New Roman"/>
                <w:sz w:val="15"/>
                <w:szCs w:val="15"/>
                <w:color w:val="auto"/>
                <w:highlight w:val="white"/>
              </w:rPr>
              <w:t>(573,061</w:t>
            </w:r>
          </w:p>
        </w:tc>
        <w:tc>
          <w:tcPr>
            <w:tcW w:w="40" w:type="dxa"/>
            <w:vAlign w:val="bottom"/>
            <w:gridSpan w:val="2"/>
            <w:vMerge w:val="continue"/>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65,472</w:t>
            </w:r>
          </w:p>
        </w:tc>
        <w:tc>
          <w:tcPr>
            <w:tcW w:w="2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6,547</w:t>
            </w:r>
          </w:p>
        </w:tc>
        <w:tc>
          <w:tcPr>
            <w:tcW w:w="2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868,763</w:t>
            </w:r>
          </w:p>
        </w:tc>
        <w:tc>
          <w:tcPr>
            <w:tcW w:w="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71,192</w:t>
            </w:r>
          </w:p>
        </w:tc>
        <w:tc>
          <w:tcPr>
            <w:tcW w:w="2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2,978,372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420" w:type="dxa"/>
            <w:vAlign w:val="bottom"/>
            <w:gridSpan w:val="4"/>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1,435</w:t>
            </w:r>
          </w:p>
        </w:tc>
        <w:tc>
          <w:tcPr>
            <w:tcW w:w="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color w:val="auto"/>
                <w:highlight w:val="white"/>
              </w:rPr>
              <w:t>3,353,248</w:t>
            </w:r>
          </w:p>
        </w:tc>
        <w:tc>
          <w:tcPr>
            <w:tcW w:w="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00" w:type="dxa"/>
            <w:vAlign w:val="bottom"/>
            <w:tcBorders>
              <w:top w:val="single" w:sz="8" w:color="EAEAEA"/>
              <w:bottom w:val="single" w:sz="8" w:color="EAEAEA"/>
            </w:tcBorders>
            <w:gridSpan w:val="3"/>
            <w:shd w:val="clear" w:color="auto" w:fill="EAEAEA"/>
          </w:tcPr>
          <w:p>
            <w:pPr>
              <w:ind w:left="20"/>
              <w:spacing w:after="0" w:line="163" w:lineRule="exact"/>
              <w:rPr>
                <w:sz w:val="20"/>
                <w:szCs w:val="20"/>
                <w:color w:val="auto"/>
              </w:rPr>
            </w:pPr>
            <w:r>
              <w:rPr>
                <w:rFonts w:ascii="Times New Roman" w:cs="Times New Roman" w:eastAsia="Times New Roman" w:hAnsi="Times New Roman"/>
                <w:sz w:val="16"/>
                <w:szCs w:val="16"/>
                <w:color w:val="auto"/>
                <w:shd w:val="clear" w:color="auto" w:fill="EAEAEA"/>
              </w:rPr>
              <w:t>Stock option exercises</w:t>
            </w:r>
          </w:p>
        </w:tc>
        <w:tc>
          <w:tcPr>
            <w:tcW w:w="240" w:type="dxa"/>
            <w:vAlign w:val="bottom"/>
            <w:tcBorders>
              <w:top w:val="single" w:sz="8" w:color="auto"/>
              <w:bottom w:val="single" w:sz="8" w:color="EAEAEA"/>
            </w:tcBorders>
            <w:shd w:val="clear" w:color="auto" w:fill="EAEAEA"/>
          </w:tcPr>
          <w:p>
            <w:pPr>
              <w:spacing w:after="0"/>
              <w:rPr>
                <w:sz w:val="15"/>
                <w:szCs w:val="15"/>
                <w:color w:val="auto"/>
              </w:rPr>
            </w:pPr>
          </w:p>
        </w:tc>
        <w:tc>
          <w:tcPr>
            <w:tcW w:w="42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120" w:type="dxa"/>
            <w:vAlign w:val="bottom"/>
            <w:tcBorders>
              <w:top w:val="single" w:sz="8" w:color="EAEAEA"/>
              <w:bottom w:val="single" w:sz="8" w:color="EAEAEA"/>
            </w:tcBorders>
            <w:shd w:val="clear" w:color="auto" w:fill="EAEAEA"/>
          </w:tcPr>
          <w:p>
            <w:pPr>
              <w:spacing w:after="0"/>
              <w:rPr>
                <w:sz w:val="15"/>
                <w:szCs w:val="15"/>
                <w:color w:val="auto"/>
              </w:rPr>
            </w:pPr>
          </w:p>
        </w:tc>
        <w:tc>
          <w:tcPr>
            <w:tcW w:w="120" w:type="dxa"/>
            <w:vAlign w:val="bottom"/>
            <w:tcBorders>
              <w:top w:val="single" w:sz="8" w:color="EAEAEA"/>
              <w:bottom w:val="single" w:sz="8" w:color="EAEAEA"/>
            </w:tcBorders>
            <w:shd w:val="clear" w:color="auto" w:fill="EAEAEA"/>
          </w:tcPr>
          <w:p>
            <w:pPr>
              <w:spacing w:after="0"/>
              <w:rPr>
                <w:sz w:val="15"/>
                <w:szCs w:val="15"/>
                <w:color w:val="auto"/>
              </w:rPr>
            </w:pPr>
          </w:p>
        </w:tc>
        <w:tc>
          <w:tcPr>
            <w:tcW w:w="60" w:type="dxa"/>
            <w:vAlign w:val="bottom"/>
            <w:tcBorders>
              <w:top w:val="single" w:sz="8" w:color="auto"/>
              <w:bottom w:val="single" w:sz="8" w:color="EAEAEA"/>
            </w:tcBorders>
            <w:shd w:val="clear" w:color="auto" w:fill="EAEAEA"/>
          </w:tcPr>
          <w:p>
            <w:pPr>
              <w:spacing w:after="0"/>
              <w:rPr>
                <w:sz w:val="15"/>
                <w:szCs w:val="15"/>
                <w:color w:val="auto"/>
              </w:rPr>
            </w:pPr>
          </w:p>
        </w:tc>
        <w:tc>
          <w:tcPr>
            <w:tcW w:w="180" w:type="dxa"/>
            <w:vAlign w:val="bottom"/>
            <w:tcBorders>
              <w:top w:val="single" w:sz="8" w:color="auto"/>
              <w:bottom w:val="single" w:sz="8" w:color="EAEAEA"/>
            </w:tcBorders>
            <w:shd w:val="clear" w:color="auto" w:fill="EAEAEA"/>
          </w:tcPr>
          <w:p>
            <w:pPr>
              <w:spacing w:after="0"/>
              <w:rPr>
                <w:sz w:val="15"/>
                <w:szCs w:val="15"/>
                <w:color w:val="auto"/>
              </w:rPr>
            </w:pPr>
          </w:p>
        </w:tc>
        <w:tc>
          <w:tcPr>
            <w:tcW w:w="60" w:type="dxa"/>
            <w:vAlign w:val="bottom"/>
            <w:tcBorders>
              <w:top w:val="single" w:sz="8" w:color="auto"/>
              <w:bottom w:val="single" w:sz="8" w:color="EAEAEA"/>
            </w:tcBorders>
            <w:shd w:val="clear" w:color="auto" w:fill="EAEAEA"/>
          </w:tcPr>
          <w:p>
            <w:pPr>
              <w:spacing w:after="0"/>
              <w:rPr>
                <w:sz w:val="15"/>
                <w:szCs w:val="15"/>
                <w:color w:val="auto"/>
              </w:rPr>
            </w:pPr>
          </w:p>
        </w:tc>
        <w:tc>
          <w:tcPr>
            <w:tcW w:w="36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220" w:type="dxa"/>
            <w:vAlign w:val="bottom"/>
            <w:tcBorders>
              <w:top w:val="single" w:sz="8" w:color="EAEAEA"/>
              <w:bottom w:val="single" w:sz="8" w:color="EAEAEA"/>
            </w:tcBorders>
            <w:shd w:val="clear" w:color="auto" w:fill="EAEAEA"/>
          </w:tcPr>
          <w:p>
            <w:pPr>
              <w:spacing w:after="0"/>
              <w:rPr>
                <w:sz w:val="15"/>
                <w:szCs w:val="15"/>
                <w:color w:val="auto"/>
              </w:rPr>
            </w:pPr>
          </w:p>
        </w:tc>
        <w:tc>
          <w:tcPr>
            <w:tcW w:w="80" w:type="dxa"/>
            <w:vAlign w:val="bottom"/>
            <w:tcBorders>
              <w:top w:val="single" w:sz="8" w:color="auto"/>
              <w:bottom w:val="single" w:sz="8" w:color="EAEAEA"/>
            </w:tcBorders>
            <w:shd w:val="clear" w:color="auto" w:fill="EAEAEA"/>
          </w:tcPr>
          <w:p>
            <w:pPr>
              <w:spacing w:after="0"/>
              <w:rPr>
                <w:sz w:val="15"/>
                <w:szCs w:val="15"/>
                <w:color w:val="auto"/>
              </w:rPr>
            </w:pPr>
          </w:p>
        </w:tc>
        <w:tc>
          <w:tcPr>
            <w:tcW w:w="400" w:type="dxa"/>
            <w:vAlign w:val="bottom"/>
            <w:tcBorders>
              <w:top w:val="single" w:sz="8" w:color="auto"/>
              <w:bottom w:val="single" w:sz="8" w:color="EAEAEA"/>
            </w:tcBorders>
            <w:gridSpan w:val="2"/>
            <w:shd w:val="clear" w:color="auto" w:fill="EAEAEA"/>
          </w:tcPr>
          <w:p>
            <w:pPr>
              <w:spacing w:after="0"/>
              <w:rPr>
                <w:sz w:val="15"/>
                <w:szCs w:val="15"/>
                <w:color w:val="auto"/>
              </w:rPr>
            </w:pPr>
          </w:p>
        </w:tc>
        <w:tc>
          <w:tcPr>
            <w:tcW w:w="400" w:type="dxa"/>
            <w:vAlign w:val="bottom"/>
            <w:tcBorders>
              <w:top w:val="single" w:sz="8" w:color="auto"/>
              <w:bottom w:val="single" w:sz="8" w:color="EAEAEA"/>
            </w:tcBorders>
            <w:shd w:val="clear" w:color="auto" w:fill="EAEAEA"/>
          </w:tcPr>
          <w:p>
            <w:pPr>
              <w:jc w:val="right"/>
              <w:spacing w:after="0" w:line="163" w:lineRule="exact"/>
              <w:rPr>
                <w:sz w:val="20"/>
                <w:szCs w:val="20"/>
                <w:color w:val="auto"/>
              </w:rPr>
            </w:pPr>
            <w:r>
              <w:rPr>
                <w:rFonts w:ascii="Times New Roman" w:cs="Times New Roman" w:eastAsia="Times New Roman" w:hAnsi="Times New Roman"/>
                <w:sz w:val="16"/>
                <w:szCs w:val="16"/>
                <w:color w:val="auto"/>
                <w:shd w:val="clear" w:color="auto" w:fill="EAEAEA"/>
              </w:rPr>
              <w:t>(223</w:t>
            </w:r>
          </w:p>
        </w:tc>
        <w:tc>
          <w:tcPr>
            <w:tcW w:w="40" w:type="dxa"/>
            <w:vAlign w:val="bottom"/>
            <w:tcBorders>
              <w:top w:val="single" w:sz="8" w:color="auto"/>
              <w:bottom w:val="single" w:sz="8" w:color="EAEAEA"/>
            </w:tcBorders>
            <w:shd w:val="clear" w:color="auto" w:fill="EAEAEA"/>
          </w:tcPr>
          <w:p>
            <w:pPr>
              <w:spacing w:after="0"/>
              <w:rPr>
                <w:sz w:val="15"/>
                <w:szCs w:val="15"/>
                <w:color w:val="auto"/>
              </w:rPr>
            </w:pPr>
          </w:p>
        </w:tc>
        <w:tc>
          <w:tcPr>
            <w:tcW w:w="220" w:type="dxa"/>
            <w:vAlign w:val="bottom"/>
            <w:tcBorders>
              <w:top w:val="single" w:sz="8" w:color="EAEAEA"/>
              <w:bottom w:val="single" w:sz="8" w:color="EAEAEA"/>
            </w:tcBorders>
            <w:shd w:val="clear" w:color="auto" w:fill="EAEAEA"/>
          </w:tcPr>
          <w:p>
            <w:pPr>
              <w:jc w:val="right"/>
              <w:ind w:right="1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80" w:type="dxa"/>
            <w:vAlign w:val="bottom"/>
            <w:tcBorders>
              <w:top w:val="single" w:sz="8" w:color="auto"/>
              <w:bottom w:val="single" w:sz="8" w:color="EAEAEA"/>
            </w:tcBorders>
            <w:shd w:val="clear" w:color="auto" w:fill="EAEAEA"/>
          </w:tcPr>
          <w:p>
            <w:pPr>
              <w:spacing w:after="0"/>
              <w:rPr>
                <w:sz w:val="15"/>
                <w:szCs w:val="15"/>
                <w:color w:val="auto"/>
              </w:rPr>
            </w:pPr>
          </w:p>
        </w:tc>
        <w:tc>
          <w:tcPr>
            <w:tcW w:w="600" w:type="dxa"/>
            <w:vAlign w:val="bottom"/>
            <w:tcBorders>
              <w:top w:val="single" w:sz="8" w:color="auto"/>
              <w:bottom w:val="single" w:sz="8" w:color="EAEAEA"/>
            </w:tcBorders>
            <w:shd w:val="clear" w:color="auto" w:fill="EAEAEA"/>
          </w:tcPr>
          <w:p>
            <w:pPr>
              <w:spacing w:after="0"/>
              <w:rPr>
                <w:sz w:val="15"/>
                <w:szCs w:val="15"/>
                <w:color w:val="auto"/>
              </w:rPr>
            </w:pPr>
          </w:p>
        </w:tc>
        <w:tc>
          <w:tcPr>
            <w:tcW w:w="44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EAEAEA"/>
              <w:bottom w:val="single" w:sz="8" w:color="EAEAEA"/>
            </w:tcBorders>
            <w:shd w:val="clear" w:color="auto" w:fill="EAEAEA"/>
          </w:tcPr>
          <w:p>
            <w:pPr>
              <w:spacing w:after="0"/>
              <w:rPr>
                <w:sz w:val="15"/>
                <w:szCs w:val="15"/>
                <w:color w:val="auto"/>
              </w:rPr>
            </w:pPr>
          </w:p>
        </w:tc>
        <w:tc>
          <w:tcPr>
            <w:tcW w:w="80" w:type="dxa"/>
            <w:vAlign w:val="bottom"/>
            <w:tcBorders>
              <w:top w:val="single" w:sz="8" w:color="auto"/>
              <w:bottom w:val="single" w:sz="8" w:color="EAEAEA"/>
            </w:tcBorders>
            <w:shd w:val="clear" w:color="auto" w:fill="EAEAEA"/>
          </w:tcPr>
          <w:p>
            <w:pPr>
              <w:spacing w:after="0"/>
              <w:rPr>
                <w:sz w:val="15"/>
                <w:szCs w:val="15"/>
                <w:color w:val="auto"/>
              </w:rPr>
            </w:pPr>
          </w:p>
        </w:tc>
        <w:tc>
          <w:tcPr>
            <w:tcW w:w="60" w:type="dxa"/>
            <w:vAlign w:val="bottom"/>
            <w:tcBorders>
              <w:top w:val="single" w:sz="8" w:color="auto"/>
              <w:bottom w:val="single" w:sz="8" w:color="EAEAEA"/>
            </w:tcBorders>
            <w:shd w:val="clear" w:color="auto" w:fill="EAEAEA"/>
          </w:tcPr>
          <w:p>
            <w:pPr>
              <w:spacing w:after="0"/>
              <w:rPr>
                <w:sz w:val="15"/>
                <w:szCs w:val="15"/>
                <w:color w:val="auto"/>
              </w:rPr>
            </w:pPr>
          </w:p>
        </w:tc>
        <w:tc>
          <w:tcPr>
            <w:tcW w:w="120" w:type="dxa"/>
            <w:vAlign w:val="bottom"/>
            <w:tcBorders>
              <w:top w:val="single" w:sz="8" w:color="auto"/>
              <w:bottom w:val="single" w:sz="8" w:color="EAEAEA"/>
            </w:tcBorders>
            <w:shd w:val="clear" w:color="auto" w:fill="EAEAEA"/>
          </w:tcPr>
          <w:p>
            <w:pPr>
              <w:spacing w:after="0"/>
              <w:rPr>
                <w:sz w:val="15"/>
                <w:szCs w:val="15"/>
                <w:color w:val="auto"/>
              </w:rPr>
            </w:pPr>
          </w:p>
        </w:tc>
        <w:tc>
          <w:tcPr>
            <w:tcW w:w="52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220" w:type="dxa"/>
            <w:vAlign w:val="bottom"/>
            <w:tcBorders>
              <w:top w:val="single" w:sz="8" w:color="EAEAEA"/>
              <w:bottom w:val="single" w:sz="8" w:color="EAEAEA"/>
            </w:tcBorders>
            <w:shd w:val="clear" w:color="auto" w:fill="EAEAEA"/>
          </w:tcPr>
          <w:p>
            <w:pPr>
              <w:spacing w:after="0"/>
              <w:rPr>
                <w:sz w:val="15"/>
                <w:szCs w:val="15"/>
                <w:color w:val="auto"/>
              </w:rPr>
            </w:pPr>
          </w:p>
        </w:tc>
        <w:tc>
          <w:tcPr>
            <w:tcW w:w="460" w:type="dxa"/>
            <w:vAlign w:val="bottom"/>
            <w:tcBorders>
              <w:top w:val="single" w:sz="8" w:color="auto"/>
              <w:bottom w:val="single" w:sz="8" w:color="EAEAEA"/>
            </w:tcBorders>
            <w:gridSpan w:val="3"/>
            <w:shd w:val="clear" w:color="auto" w:fill="EAEAEA"/>
          </w:tcPr>
          <w:p>
            <w:pPr>
              <w:spacing w:after="0"/>
              <w:rPr>
                <w:sz w:val="15"/>
                <w:szCs w:val="15"/>
                <w:color w:val="auto"/>
              </w:rPr>
            </w:pPr>
          </w:p>
        </w:tc>
        <w:tc>
          <w:tcPr>
            <w:tcW w:w="220" w:type="dxa"/>
            <w:vAlign w:val="bottom"/>
            <w:tcBorders>
              <w:top w:val="single" w:sz="8" w:color="auto"/>
              <w:bottom w:val="single" w:sz="8" w:color="EAEAEA"/>
            </w:tcBorders>
            <w:gridSpan w:val="2"/>
            <w:shd w:val="clear" w:color="auto" w:fill="EAEAEA"/>
          </w:tcPr>
          <w:p>
            <w:pPr>
              <w:jc w:val="right"/>
              <w:ind w:right="20"/>
              <w:spacing w:after="0" w:line="163" w:lineRule="exact"/>
              <w:rPr>
                <w:sz w:val="20"/>
                <w:szCs w:val="20"/>
                <w:color w:val="auto"/>
              </w:rPr>
            </w:pPr>
            <w:r>
              <w:rPr>
                <w:rFonts w:ascii="Times New Roman" w:cs="Times New Roman" w:eastAsia="Times New Roman" w:hAnsi="Times New Roman"/>
                <w:sz w:val="16"/>
                <w:szCs w:val="16"/>
                <w:color w:val="auto"/>
                <w:shd w:val="clear" w:color="auto" w:fill="EAEAEA"/>
              </w:rPr>
              <w:t>67</w:t>
            </w: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EAEAEA"/>
              <w:bottom w:val="single" w:sz="8" w:color="EAEAEA"/>
            </w:tcBorders>
            <w:shd w:val="clear" w:color="auto" w:fill="EAEAEA"/>
          </w:tcPr>
          <w:p>
            <w:pPr>
              <w:spacing w:after="0"/>
              <w:rPr>
                <w:sz w:val="15"/>
                <w:szCs w:val="15"/>
                <w:color w:val="auto"/>
              </w:rPr>
            </w:pPr>
          </w:p>
        </w:tc>
        <w:tc>
          <w:tcPr>
            <w:tcW w:w="20" w:type="dxa"/>
            <w:vAlign w:val="bottom"/>
            <w:tcBorders>
              <w:top w:val="single" w:sz="8" w:color="EAEAEA"/>
              <w:bottom w:val="single" w:sz="8" w:color="EAEAEA"/>
            </w:tcBorders>
            <w:shd w:val="clear" w:color="auto" w:fill="EAEAEA"/>
          </w:tcPr>
          <w:p>
            <w:pPr>
              <w:spacing w:after="0"/>
              <w:rPr>
                <w:sz w:val="15"/>
                <w:szCs w:val="15"/>
                <w:color w:val="auto"/>
              </w:rPr>
            </w:pPr>
          </w:p>
        </w:tc>
        <w:tc>
          <w:tcPr>
            <w:tcW w:w="60" w:type="dxa"/>
            <w:vAlign w:val="bottom"/>
            <w:tcBorders>
              <w:top w:val="single" w:sz="8" w:color="EAEAEA"/>
              <w:bottom w:val="single" w:sz="8" w:color="EAEAEA"/>
            </w:tcBorders>
            <w:shd w:val="clear" w:color="auto" w:fill="EAEAEA"/>
          </w:tcPr>
          <w:p>
            <w:pPr>
              <w:spacing w:after="0"/>
              <w:rPr>
                <w:sz w:val="15"/>
                <w:szCs w:val="15"/>
                <w:color w:val="auto"/>
              </w:rPr>
            </w:pPr>
          </w:p>
        </w:tc>
        <w:tc>
          <w:tcPr>
            <w:tcW w:w="120" w:type="dxa"/>
            <w:vAlign w:val="bottom"/>
            <w:tcBorders>
              <w:top w:val="single" w:sz="8" w:color="EAEAEA"/>
              <w:bottom w:val="single" w:sz="8" w:color="EAEAEA"/>
            </w:tcBorders>
            <w:shd w:val="clear" w:color="auto" w:fill="EAEAEA"/>
          </w:tcPr>
          <w:p>
            <w:pPr>
              <w:spacing w:after="0"/>
              <w:rPr>
                <w:sz w:val="15"/>
                <w:szCs w:val="15"/>
                <w:color w:val="auto"/>
              </w:rPr>
            </w:pPr>
          </w:p>
        </w:tc>
        <w:tc>
          <w:tcPr>
            <w:tcW w:w="80" w:type="dxa"/>
            <w:vAlign w:val="bottom"/>
            <w:tcBorders>
              <w:top w:val="single" w:sz="8" w:color="auto"/>
              <w:bottom w:val="single" w:sz="8" w:color="EAEAEA"/>
            </w:tcBorders>
            <w:shd w:val="clear" w:color="auto" w:fill="EAEAEA"/>
          </w:tcPr>
          <w:p>
            <w:pPr>
              <w:spacing w:after="0"/>
              <w:rPr>
                <w:sz w:val="15"/>
                <w:szCs w:val="15"/>
                <w:color w:val="auto"/>
              </w:rPr>
            </w:pPr>
          </w:p>
        </w:tc>
        <w:tc>
          <w:tcPr>
            <w:tcW w:w="280" w:type="dxa"/>
            <w:vAlign w:val="bottom"/>
            <w:tcBorders>
              <w:top w:val="single" w:sz="8" w:color="auto"/>
              <w:bottom w:val="single" w:sz="8" w:color="EAEAEA"/>
            </w:tcBorders>
            <w:gridSpan w:val="2"/>
            <w:shd w:val="clear" w:color="auto" w:fill="EAEAEA"/>
          </w:tcPr>
          <w:p>
            <w:pPr>
              <w:spacing w:after="0"/>
              <w:rPr>
                <w:sz w:val="15"/>
                <w:szCs w:val="15"/>
                <w:color w:val="auto"/>
              </w:rPr>
            </w:pPr>
          </w:p>
        </w:tc>
        <w:tc>
          <w:tcPr>
            <w:tcW w:w="400" w:type="dxa"/>
            <w:vAlign w:val="bottom"/>
            <w:tcBorders>
              <w:top w:val="single" w:sz="8" w:color="auto"/>
              <w:bottom w:val="single" w:sz="8" w:color="EAEAEA"/>
            </w:tcBorders>
            <w:gridSpan w:val="2"/>
            <w:shd w:val="clear" w:color="auto" w:fill="EAEAEA"/>
          </w:tcPr>
          <w:p>
            <w:pPr>
              <w:jc w:val="right"/>
              <w:spacing w:after="0" w:line="163" w:lineRule="exact"/>
              <w:rPr>
                <w:sz w:val="20"/>
                <w:szCs w:val="20"/>
                <w:color w:val="auto"/>
              </w:rPr>
            </w:pPr>
            <w:r>
              <w:rPr>
                <w:rFonts w:ascii="Times New Roman" w:cs="Times New Roman" w:eastAsia="Times New Roman" w:hAnsi="Times New Roman"/>
                <w:sz w:val="16"/>
                <w:szCs w:val="16"/>
                <w:color w:val="auto"/>
                <w:shd w:val="clear" w:color="auto" w:fill="EAEAEA"/>
              </w:rPr>
              <w:t>5,169</w:t>
            </w: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40" w:type="dxa"/>
            <w:vAlign w:val="bottom"/>
            <w:tcBorders>
              <w:top w:val="single" w:sz="8" w:color="EAEAEA"/>
              <w:bottom w:val="single" w:sz="8" w:color="EAEAEA"/>
            </w:tcBorders>
            <w:shd w:val="clear" w:color="auto" w:fill="EAEAEA"/>
          </w:tcPr>
          <w:p>
            <w:pPr>
              <w:spacing w:after="0"/>
              <w:rPr>
                <w:sz w:val="15"/>
                <w:szCs w:val="15"/>
                <w:color w:val="auto"/>
              </w:rPr>
            </w:pPr>
          </w:p>
        </w:tc>
        <w:tc>
          <w:tcPr>
            <w:tcW w:w="180" w:type="dxa"/>
            <w:vAlign w:val="bottom"/>
            <w:tcBorders>
              <w:top w:val="single" w:sz="8" w:color="EAEAEA"/>
              <w:bottom w:val="single" w:sz="8" w:color="EAEAEA"/>
            </w:tcBorders>
            <w:shd w:val="clear" w:color="auto" w:fill="EAEAEA"/>
          </w:tcPr>
          <w:p>
            <w:pPr>
              <w:spacing w:after="0"/>
              <w:rPr>
                <w:sz w:val="15"/>
                <w:szCs w:val="15"/>
                <w:color w:val="auto"/>
              </w:rPr>
            </w:pPr>
          </w:p>
        </w:tc>
        <w:tc>
          <w:tcPr>
            <w:tcW w:w="140" w:type="dxa"/>
            <w:vAlign w:val="bottom"/>
            <w:tcBorders>
              <w:top w:val="single" w:sz="8" w:color="auto"/>
              <w:bottom w:val="single" w:sz="8" w:color="EAEAEA"/>
            </w:tcBorders>
            <w:shd w:val="clear" w:color="auto" w:fill="EAEAEA"/>
          </w:tcPr>
          <w:p>
            <w:pPr>
              <w:spacing w:after="0"/>
              <w:rPr>
                <w:sz w:val="15"/>
                <w:szCs w:val="15"/>
                <w:color w:val="auto"/>
              </w:rPr>
            </w:pPr>
          </w:p>
        </w:tc>
        <w:tc>
          <w:tcPr>
            <w:tcW w:w="560" w:type="dxa"/>
            <w:vAlign w:val="bottom"/>
            <w:tcBorders>
              <w:top w:val="single" w:sz="8" w:color="auto"/>
              <w:bottom w:val="single" w:sz="8" w:color="EAEAEA"/>
            </w:tcBorders>
            <w:shd w:val="clear" w:color="auto" w:fill="EAEAEA"/>
          </w:tcPr>
          <w:p>
            <w:pPr>
              <w:spacing w:after="0"/>
              <w:rPr>
                <w:sz w:val="15"/>
                <w:szCs w:val="15"/>
                <w:color w:val="auto"/>
              </w:rPr>
            </w:pPr>
          </w:p>
        </w:tc>
        <w:tc>
          <w:tcPr>
            <w:tcW w:w="120" w:type="dxa"/>
            <w:vAlign w:val="bottom"/>
            <w:tcBorders>
              <w:top w:val="single" w:sz="8" w:color="auto"/>
              <w:bottom w:val="single" w:sz="8" w:color="EAEAEA"/>
            </w:tcBorders>
            <w:shd w:val="clear" w:color="auto" w:fill="EAEAEA"/>
          </w:tcPr>
          <w:p>
            <w:pPr>
              <w:spacing w:after="0"/>
              <w:rPr>
                <w:sz w:val="15"/>
                <w:szCs w:val="15"/>
                <w:color w:val="auto"/>
              </w:rPr>
            </w:pPr>
          </w:p>
        </w:tc>
        <w:tc>
          <w:tcPr>
            <w:tcW w:w="220" w:type="dxa"/>
            <w:vAlign w:val="bottom"/>
            <w:tcBorders>
              <w:top w:val="single" w:sz="8" w:color="auto"/>
              <w:bottom w:val="single" w:sz="8" w:color="EAEAEA"/>
            </w:tcBorders>
            <w:shd w:val="clear" w:color="auto" w:fill="EAEAEA"/>
          </w:tcPr>
          <w:p>
            <w:pPr>
              <w:spacing w:after="0"/>
              <w:rPr>
                <w:sz w:val="15"/>
                <w:szCs w:val="15"/>
                <w:color w:val="auto"/>
              </w:rPr>
            </w:pPr>
          </w:p>
        </w:tc>
        <w:tc>
          <w:tcPr>
            <w:tcW w:w="20" w:type="dxa"/>
            <w:vAlign w:val="bottom"/>
            <w:tcBorders>
              <w:top w:val="single" w:sz="8" w:color="auto"/>
              <w:bottom w:val="single" w:sz="8" w:color="EAEAEA"/>
            </w:tcBorders>
            <w:shd w:val="clear" w:color="auto" w:fill="EAEAEA"/>
          </w:tcPr>
          <w:p>
            <w:pPr>
              <w:spacing w:after="0"/>
              <w:rPr>
                <w:sz w:val="15"/>
                <w:szCs w:val="15"/>
                <w:color w:val="auto"/>
              </w:rPr>
            </w:pPr>
          </w:p>
        </w:tc>
        <w:tc>
          <w:tcPr>
            <w:tcW w:w="220" w:type="dxa"/>
            <w:vAlign w:val="bottom"/>
            <w:tcBorders>
              <w:top w:val="single" w:sz="8" w:color="EAEAEA"/>
              <w:bottom w:val="single" w:sz="8" w:color="EAEAEA"/>
            </w:tcBorders>
            <w:shd w:val="clear" w:color="auto" w:fill="EAEAEA"/>
          </w:tcPr>
          <w:p>
            <w:pPr>
              <w:spacing w:after="0"/>
              <w:rPr>
                <w:sz w:val="15"/>
                <w:szCs w:val="15"/>
                <w:color w:val="auto"/>
              </w:rPr>
            </w:pPr>
          </w:p>
        </w:tc>
        <w:tc>
          <w:tcPr>
            <w:tcW w:w="120" w:type="dxa"/>
            <w:vAlign w:val="bottom"/>
            <w:tcBorders>
              <w:top w:val="single" w:sz="8" w:color="auto"/>
              <w:bottom w:val="single" w:sz="8" w:color="EAEAEA"/>
            </w:tcBorders>
            <w:shd w:val="clear" w:color="auto" w:fill="EAEAEA"/>
          </w:tcPr>
          <w:p>
            <w:pPr>
              <w:spacing w:after="0"/>
              <w:rPr>
                <w:sz w:val="15"/>
                <w:szCs w:val="15"/>
                <w:color w:val="auto"/>
              </w:rPr>
            </w:pPr>
          </w:p>
        </w:tc>
        <w:tc>
          <w:tcPr>
            <w:tcW w:w="260" w:type="dxa"/>
            <w:vAlign w:val="bottom"/>
            <w:tcBorders>
              <w:top w:val="single" w:sz="8" w:color="auto"/>
              <w:bottom w:val="single" w:sz="8" w:color="EAEAEA"/>
            </w:tcBorders>
            <w:gridSpan w:val="3"/>
            <w:shd w:val="clear" w:color="auto" w:fill="EAEAEA"/>
          </w:tcPr>
          <w:p>
            <w:pPr>
              <w:spacing w:after="0"/>
              <w:rPr>
                <w:sz w:val="15"/>
                <w:szCs w:val="15"/>
                <w:color w:val="auto"/>
              </w:rPr>
            </w:pPr>
          </w:p>
        </w:tc>
        <w:tc>
          <w:tcPr>
            <w:tcW w:w="440" w:type="dxa"/>
            <w:vAlign w:val="bottom"/>
            <w:tcBorders>
              <w:top w:val="single" w:sz="8" w:color="auto"/>
              <w:bottom w:val="single" w:sz="8" w:color="EAEAEA"/>
            </w:tcBorders>
            <w:gridSpan w:val="2"/>
            <w:shd w:val="clear" w:color="auto" w:fill="EAEAEA"/>
          </w:tcPr>
          <w:p>
            <w:pPr>
              <w:jc w:val="right"/>
              <w:ind w:right="20"/>
              <w:spacing w:after="0" w:line="163" w:lineRule="exact"/>
              <w:rPr>
                <w:sz w:val="20"/>
                <w:szCs w:val="20"/>
                <w:color w:val="auto"/>
              </w:rPr>
            </w:pPr>
            <w:r>
              <w:rPr>
                <w:rFonts w:ascii="Times New Roman" w:cs="Times New Roman" w:eastAsia="Times New Roman" w:hAnsi="Times New Roman"/>
                <w:sz w:val="16"/>
                <w:szCs w:val="16"/>
                <w:color w:val="auto"/>
                <w:shd w:val="clear" w:color="auto" w:fill="EAEAEA"/>
              </w:rPr>
              <w:t>4,946</w:t>
            </w:r>
          </w:p>
        </w:tc>
        <w:tc>
          <w:tcPr>
            <w:tcW w:w="40" w:type="dxa"/>
            <w:vAlign w:val="bottom"/>
            <w:tcBorders>
              <w:top w:val="single" w:sz="8" w:color="EAEAEA"/>
              <w:bottom w:val="single" w:sz="8" w:color="EAEAEA"/>
            </w:tcBorders>
            <w:shd w:val="clear" w:color="auto" w:fill="EAEAEA"/>
          </w:tcPr>
          <w:p>
            <w:pPr>
              <w:spacing w:after="0"/>
              <w:rPr>
                <w:sz w:val="15"/>
                <w:szCs w:val="15"/>
                <w:color w:val="auto"/>
              </w:rPr>
            </w:pPr>
          </w:p>
        </w:tc>
        <w:tc>
          <w:tcPr>
            <w:tcW w:w="40" w:type="dxa"/>
            <w:vAlign w:val="bottom"/>
            <w:tcBorders>
              <w:top w:val="single" w:sz="8" w:color="EAEAEA"/>
              <w:bottom w:val="single" w:sz="8" w:color="EAEAEA"/>
            </w:tcBorders>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160" w:type="dxa"/>
            <w:vAlign w:val="bottom"/>
            <w:gridSpan w:val="65"/>
          </w:tcPr>
          <w:p>
            <w:pPr>
              <w:ind w:left="20"/>
              <w:spacing w:after="0" w:line="183" w:lineRule="exact"/>
              <w:rPr>
                <w:sz w:val="20"/>
                <w:szCs w:val="20"/>
                <w:color w:val="auto"/>
              </w:rPr>
            </w:pPr>
            <w:r>
              <w:rPr>
                <w:rFonts w:ascii="Times New Roman" w:cs="Times New Roman" w:eastAsia="Times New Roman" w:hAnsi="Times New Roman"/>
                <w:sz w:val="16"/>
                <w:szCs w:val="16"/>
                <w:color w:val="auto"/>
              </w:rPr>
              <w:t>Issuance of stock for</w:t>
            </w:r>
          </w:p>
        </w:tc>
        <w:tc>
          <w:tcPr>
            <w:tcW w:w="0" w:type="dxa"/>
            <w:vAlign w:val="bottom"/>
          </w:tcPr>
          <w:p>
            <w:pPr>
              <w:spacing w:after="0"/>
              <w:rPr>
                <w:sz w:val="1"/>
                <w:szCs w:val="1"/>
                <w:color w:val="auto"/>
              </w:rPr>
            </w:pPr>
          </w:p>
        </w:tc>
      </w:tr>
      <w:tr>
        <w:trPr>
          <w:trHeight w:val="183"/>
        </w:trPr>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awards, net of</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12,854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forfeitures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(12,854 )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00" w:type="dxa"/>
            <w:vAlign w:val="bottom"/>
            <w:gridSpan w:val="35"/>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Tax withholdings on</w:t>
            </w:r>
          </w:p>
        </w:tc>
        <w:tc>
          <w:tcPr>
            <w:tcW w:w="220" w:type="dxa"/>
            <w:vAlign w:val="bottom"/>
            <w:gridSpan w:val="2"/>
            <w:vMerge w:val="restart"/>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84"/>
                <w:shd w:val="clear" w:color="auto" w:fill="EAEAEA"/>
              </w:rPr>
              <w:t>(55</w:t>
            </w:r>
          </w:p>
        </w:tc>
        <w:tc>
          <w:tcPr>
            <w:tcW w:w="40" w:type="dxa"/>
            <w:vAlign w:val="bottom"/>
            <w:gridSpan w:val="2"/>
            <w:shd w:val="clear" w:color="auto" w:fill="EAEAEA"/>
          </w:tcPr>
          <w:p>
            <w:pPr>
              <w:spacing w:after="0"/>
              <w:rPr>
                <w:sz w:val="17"/>
                <w:szCs w:val="17"/>
                <w:color w:val="auto"/>
              </w:rPr>
            </w:pPr>
          </w:p>
        </w:tc>
        <w:tc>
          <w:tcPr>
            <w:tcW w:w="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540" w:type="dxa"/>
            <w:vAlign w:val="bottom"/>
            <w:gridSpan w:val="5"/>
            <w:shd w:val="clear" w:color="auto" w:fill="EAEAEA"/>
          </w:tcPr>
          <w:p>
            <w:pPr>
              <w:spacing w:after="0"/>
              <w:rPr>
                <w:sz w:val="17"/>
                <w:szCs w:val="17"/>
                <w:color w:val="auto"/>
              </w:rPr>
            </w:pPr>
          </w:p>
        </w:tc>
        <w:tc>
          <w:tcPr>
            <w:tcW w:w="40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1"/>
                <w:shd w:val="clear" w:color="auto" w:fill="EAEAEA"/>
              </w:rPr>
              <w:t>(5,981</w:t>
            </w:r>
          </w:p>
        </w:tc>
        <w:tc>
          <w:tcPr>
            <w:tcW w:w="40" w:type="dxa"/>
            <w:vAlign w:val="bottom"/>
            <w:gridSpan w:val="2"/>
            <w:shd w:val="clear" w:color="auto" w:fill="EAEAEA"/>
          </w:tcPr>
          <w:p>
            <w:pPr>
              <w:spacing w:after="0"/>
              <w:rPr>
                <w:sz w:val="17"/>
                <w:szCs w:val="17"/>
                <w:color w:val="auto"/>
              </w:rPr>
            </w:pPr>
          </w:p>
        </w:tc>
        <w:tc>
          <w:tcPr>
            <w:tcW w:w="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840" w:type="dxa"/>
            <w:vAlign w:val="bottom"/>
            <w:gridSpan w:val="11"/>
            <w:shd w:val="clear" w:color="auto" w:fill="EAEAEA"/>
          </w:tcPr>
          <w:p>
            <w:pPr>
              <w:spacing w:after="0"/>
              <w:rPr>
                <w:sz w:val="17"/>
                <w:szCs w:val="17"/>
                <w:color w:val="auto"/>
              </w:rPr>
            </w:pPr>
          </w:p>
        </w:tc>
        <w:tc>
          <w:tcPr>
            <w:tcW w:w="4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1"/>
                <w:shd w:val="clear" w:color="auto" w:fill="EAEAEA"/>
              </w:rPr>
              <w:t>(5,981</w:t>
            </w:r>
          </w:p>
        </w:tc>
        <w:tc>
          <w:tcPr>
            <w:tcW w:w="20" w:type="dxa"/>
            <w:vAlign w:val="bottom"/>
            <w:shd w:val="clear" w:color="auto" w:fill="EAEAEA"/>
          </w:tcPr>
          <w:p>
            <w:pPr>
              <w:spacing w:after="0"/>
              <w:rPr>
                <w:sz w:val="17"/>
                <w:szCs w:val="17"/>
                <w:color w:val="auto"/>
              </w:rPr>
            </w:pPr>
          </w:p>
        </w:tc>
        <w:tc>
          <w:tcPr>
            <w:tcW w:w="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00" w:type="dxa"/>
            <w:vAlign w:val="bottom"/>
            <w:gridSpan w:val="3"/>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equity award vesting</w:t>
            </w:r>
          </w:p>
        </w:tc>
        <w:tc>
          <w:tcPr>
            <w:tcW w:w="240" w:type="dxa"/>
            <w:vAlign w:val="bottom"/>
            <w:shd w:val="clear" w:color="auto" w:fill="EAEAEA"/>
          </w:tcPr>
          <w:p>
            <w:pPr>
              <w:spacing w:after="0"/>
              <w:rPr>
                <w:sz w:val="16"/>
                <w:szCs w:val="16"/>
                <w:color w:val="auto"/>
              </w:rPr>
            </w:pPr>
          </w:p>
        </w:tc>
        <w:tc>
          <w:tcPr>
            <w:tcW w:w="4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36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3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00" w:type="dxa"/>
            <w:vAlign w:val="bottom"/>
            <w:shd w:val="clear" w:color="auto" w:fill="EAEAEA"/>
          </w:tcPr>
          <w:p>
            <w:pPr>
              <w:spacing w:after="0"/>
              <w:rPr>
                <w:sz w:val="16"/>
                <w:szCs w:val="16"/>
                <w:color w:val="auto"/>
              </w:rPr>
            </w:pPr>
          </w:p>
        </w:tc>
        <w:tc>
          <w:tcPr>
            <w:tcW w:w="44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460" w:type="dxa"/>
            <w:vAlign w:val="bottom"/>
            <w:gridSpan w:val="3"/>
            <w:shd w:val="clear" w:color="auto" w:fill="EAEAEA"/>
          </w:tcPr>
          <w:p>
            <w:pPr>
              <w:spacing w:after="0"/>
              <w:rPr>
                <w:sz w:val="16"/>
                <w:szCs w:val="16"/>
                <w:color w:val="auto"/>
              </w:rPr>
            </w:pPr>
          </w:p>
        </w:tc>
        <w:tc>
          <w:tcPr>
            <w:tcW w:w="220" w:type="dxa"/>
            <w:vAlign w:val="bottom"/>
            <w:gridSpan w:val="2"/>
            <w:vMerge w:val="continue"/>
            <w:shd w:val="clear" w:color="auto" w:fill="EAEAEA"/>
          </w:tcPr>
          <w:p>
            <w:pPr>
              <w:spacing w:after="0"/>
              <w:rPr>
                <w:sz w:val="16"/>
                <w:szCs w:val="16"/>
                <w:color w:val="auto"/>
              </w:rPr>
            </w:pPr>
          </w:p>
        </w:tc>
        <w:tc>
          <w:tcPr>
            <w:tcW w:w="40" w:type="dxa"/>
            <w:vAlign w:val="bottom"/>
            <w:gridSpan w:val="2"/>
            <w:shd w:val="clear" w:color="auto" w:fill="EAEAEA"/>
          </w:tcPr>
          <w:p>
            <w:pPr>
              <w:spacing w:after="0"/>
              <w:rPr>
                <w:sz w:val="16"/>
                <w:szCs w:val="16"/>
                <w:color w:val="auto"/>
              </w:rPr>
            </w:pPr>
          </w:p>
        </w:tc>
        <w:tc>
          <w:tcPr>
            <w:tcW w:w="20" w:type="dxa"/>
            <w:vAlign w:val="bottom"/>
            <w:vMerge w:val="continue"/>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280" w:type="dxa"/>
            <w:vAlign w:val="bottom"/>
            <w:gridSpan w:val="2"/>
            <w:shd w:val="clear" w:color="auto" w:fill="EAEAEA"/>
          </w:tcPr>
          <w:p>
            <w:pPr>
              <w:spacing w:after="0"/>
              <w:rPr>
                <w:sz w:val="16"/>
                <w:szCs w:val="16"/>
                <w:color w:val="auto"/>
              </w:rPr>
            </w:pPr>
          </w:p>
        </w:tc>
        <w:tc>
          <w:tcPr>
            <w:tcW w:w="400" w:type="dxa"/>
            <w:vAlign w:val="bottom"/>
            <w:gridSpan w:val="2"/>
            <w:vMerge w:val="continue"/>
            <w:shd w:val="clear" w:color="auto" w:fill="EAEAEA"/>
          </w:tcPr>
          <w:p>
            <w:pPr>
              <w:spacing w:after="0"/>
              <w:rPr>
                <w:sz w:val="16"/>
                <w:szCs w:val="16"/>
                <w:color w:val="auto"/>
              </w:rPr>
            </w:pPr>
          </w:p>
        </w:tc>
        <w:tc>
          <w:tcPr>
            <w:tcW w:w="40" w:type="dxa"/>
            <w:vAlign w:val="bottom"/>
            <w:gridSpan w:val="2"/>
            <w:shd w:val="clear" w:color="auto" w:fill="EAEAEA"/>
          </w:tcPr>
          <w:p>
            <w:pPr>
              <w:spacing w:after="0"/>
              <w:rPr>
                <w:sz w:val="16"/>
                <w:szCs w:val="16"/>
                <w:color w:val="auto"/>
              </w:rPr>
            </w:pPr>
          </w:p>
        </w:tc>
        <w:tc>
          <w:tcPr>
            <w:tcW w:w="40" w:type="dxa"/>
            <w:vAlign w:val="bottom"/>
            <w:vMerge w:val="continue"/>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60" w:type="dxa"/>
            <w:vAlign w:val="bottom"/>
            <w:gridSpan w:val="3"/>
            <w:shd w:val="clear" w:color="auto" w:fill="EAEAEA"/>
          </w:tcPr>
          <w:p>
            <w:pPr>
              <w:spacing w:after="0"/>
              <w:rPr>
                <w:sz w:val="16"/>
                <w:szCs w:val="16"/>
                <w:color w:val="auto"/>
              </w:rPr>
            </w:pPr>
          </w:p>
        </w:tc>
        <w:tc>
          <w:tcPr>
            <w:tcW w:w="420" w:type="dxa"/>
            <w:vAlign w:val="bottom"/>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vMerge w:val="continue"/>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00" w:type="dxa"/>
            <w:vAlign w:val="bottom"/>
            <w:gridSpan w:val="15"/>
          </w:tcPr>
          <w:p>
            <w:pPr>
              <w:spacing w:after="0" w:line="182" w:lineRule="exact"/>
              <w:rPr>
                <w:sz w:val="20"/>
                <w:szCs w:val="20"/>
                <w:color w:val="auto"/>
              </w:rPr>
            </w:pPr>
            <w:r>
              <w:rPr>
                <w:rFonts w:ascii="Times New Roman" w:cs="Times New Roman" w:eastAsia="Times New Roman" w:hAnsi="Times New Roman"/>
                <w:sz w:val="16"/>
                <w:szCs w:val="16"/>
                <w:color w:val="auto"/>
              </w:rPr>
              <w:t>Amortization of share-</w:t>
            </w:r>
          </w:p>
        </w:tc>
        <w:tc>
          <w:tcPr>
            <w:tcW w:w="8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17,563</w:t>
            </w:r>
          </w:p>
        </w:tc>
        <w:tc>
          <w:tcPr>
            <w:tcW w:w="5940" w:type="dxa"/>
            <w:vAlign w:val="bottom"/>
            <w:gridSpan w:val="39"/>
          </w:tcPr>
          <w:p>
            <w:pPr>
              <w:spacing w:after="0"/>
              <w:rPr>
                <w:sz w:val="15"/>
                <w:szCs w:val="15"/>
                <w:color w:val="auto"/>
              </w:rPr>
            </w:pPr>
          </w:p>
        </w:tc>
        <w:tc>
          <w:tcPr>
            <w:tcW w:w="7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17,563</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0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based compensation</w:t>
            </w:r>
          </w:p>
        </w:tc>
        <w:tc>
          <w:tcPr>
            <w:tcW w:w="840" w:type="dxa"/>
            <w:vAlign w:val="bottom"/>
            <w:gridSpan w:val="4"/>
            <w:vMerge w:val="continue"/>
          </w:tcPr>
          <w:p>
            <w:pPr>
              <w:spacing w:after="0"/>
              <w:rPr>
                <w:sz w:val="17"/>
                <w:szCs w:val="17"/>
                <w:color w:val="auto"/>
              </w:rPr>
            </w:pPr>
          </w:p>
        </w:tc>
        <w:tc>
          <w:tcPr>
            <w:tcW w:w="5940" w:type="dxa"/>
            <w:vAlign w:val="bottom"/>
            <w:gridSpan w:val="39"/>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160" w:type="dxa"/>
            <w:vAlign w:val="bottom"/>
            <w:gridSpan w:val="65"/>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Treasury stock</w:t>
            </w:r>
          </w:p>
        </w:tc>
        <w:tc>
          <w:tcPr>
            <w:tcW w:w="0" w:type="dxa"/>
            <w:vAlign w:val="bottom"/>
          </w:tcPr>
          <w:p>
            <w:pPr>
              <w:spacing w:after="0"/>
              <w:rPr>
                <w:sz w:val="1"/>
                <w:szCs w:val="1"/>
                <w:color w:val="auto"/>
              </w:rPr>
            </w:pPr>
          </w:p>
        </w:tc>
      </w:tr>
      <w:tr>
        <w:trPr>
          <w:trHeight w:val="184"/>
        </w:trPr>
        <w:tc>
          <w:tcPr>
            <w:tcW w:w="660" w:type="dxa"/>
            <w:vAlign w:val="bottom"/>
            <w:gridSpan w:val="2"/>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w w:val="98"/>
                <w:shd w:val="clear" w:color="auto" w:fill="EAEAEA"/>
              </w:rPr>
              <w:t>purchases</w:t>
            </w:r>
          </w:p>
        </w:tc>
        <w:tc>
          <w:tcPr>
            <w:tcW w:w="104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4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36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3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00" w:type="dxa"/>
            <w:vAlign w:val="bottom"/>
            <w:shd w:val="clear" w:color="auto" w:fill="EAEAEA"/>
          </w:tcPr>
          <w:p>
            <w:pPr>
              <w:spacing w:after="0"/>
              <w:rPr>
                <w:sz w:val="16"/>
                <w:szCs w:val="16"/>
                <w:color w:val="auto"/>
              </w:rPr>
            </w:pPr>
          </w:p>
        </w:tc>
        <w:tc>
          <w:tcPr>
            <w:tcW w:w="44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260" w:type="dxa"/>
            <w:vAlign w:val="bottom"/>
            <w:shd w:val="clear" w:color="auto" w:fill="EAEAEA"/>
          </w:tcPr>
          <w:p>
            <w:pPr>
              <w:spacing w:after="0"/>
              <w:rPr>
                <w:sz w:val="16"/>
                <w:szCs w:val="16"/>
                <w:color w:val="auto"/>
              </w:rPr>
            </w:pPr>
          </w:p>
        </w:tc>
        <w:tc>
          <w:tcPr>
            <w:tcW w:w="420" w:type="dxa"/>
            <w:vAlign w:val="bottom"/>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91"/>
                <w:shd w:val="clear" w:color="auto" w:fill="EAEAEA"/>
              </w:rPr>
              <w:t>(3,679</w:t>
            </w:r>
          </w:p>
        </w:tc>
        <w:tc>
          <w:tcPr>
            <w:tcW w:w="40" w:type="dxa"/>
            <w:vAlign w:val="bottom"/>
            <w:gridSpan w:val="2"/>
            <w:shd w:val="clear" w:color="auto" w:fill="EAEAEA"/>
          </w:tcPr>
          <w:p>
            <w:pPr>
              <w:spacing w:after="0"/>
              <w:rPr>
                <w:sz w:val="16"/>
                <w:szCs w:val="16"/>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6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4"/>
                <w:shd w:val="clear" w:color="auto" w:fill="EAEAEA"/>
              </w:rPr>
              <w:t>(354,199</w:t>
            </w:r>
          </w:p>
        </w:tc>
        <w:tc>
          <w:tcPr>
            <w:tcW w:w="40" w:type="dxa"/>
            <w:vAlign w:val="bottom"/>
            <w:gridSpan w:val="2"/>
            <w:shd w:val="clear" w:color="auto" w:fill="EAEAEA"/>
          </w:tcPr>
          <w:p>
            <w:pPr>
              <w:spacing w:after="0"/>
              <w:rPr>
                <w:sz w:val="16"/>
                <w:szCs w:val="16"/>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8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640" w:type="dxa"/>
            <w:vAlign w:val="bottom"/>
            <w:gridSpan w:val="4"/>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shd w:val="clear" w:color="auto" w:fill="EAEAEA"/>
              </w:rPr>
              <w:t>(354,199</w:t>
            </w: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160" w:type="dxa"/>
            <w:vAlign w:val="bottom"/>
            <w:gridSpan w:val="65"/>
          </w:tcPr>
          <w:p>
            <w:pPr>
              <w:spacing w:after="0" w:line="182" w:lineRule="exact"/>
              <w:rPr>
                <w:sz w:val="20"/>
                <w:szCs w:val="20"/>
                <w:color w:val="auto"/>
              </w:rPr>
            </w:pPr>
            <w:r>
              <w:rPr>
                <w:rFonts w:ascii="Times New Roman" w:cs="Times New Roman" w:eastAsia="Times New Roman" w:hAnsi="Times New Roman"/>
                <w:sz w:val="16"/>
                <w:szCs w:val="16"/>
                <w:color w:val="auto"/>
              </w:rPr>
              <w:t>Excise taxes on treasury</w:t>
            </w:r>
          </w:p>
        </w:tc>
        <w:tc>
          <w:tcPr>
            <w:tcW w:w="0" w:type="dxa"/>
            <w:vAlign w:val="bottom"/>
          </w:tcPr>
          <w:p>
            <w:pPr>
              <w:spacing w:after="0"/>
              <w:rPr>
                <w:sz w:val="1"/>
                <w:szCs w:val="1"/>
                <w:color w:val="auto"/>
              </w:rPr>
            </w:pPr>
          </w:p>
        </w:tc>
      </w:tr>
      <w:tr>
        <w:trPr>
          <w:trHeight w:val="200"/>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 purchases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(3,349 )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(3,349 )</w:t>
            </w:r>
          </w:p>
        </w:tc>
        <w:tc>
          <w:tcPr>
            <w:tcW w:w="0" w:type="dxa"/>
            <w:vAlign w:val="bottom"/>
          </w:tcPr>
          <w:p>
            <w:pPr>
              <w:spacing w:after="0"/>
              <w:rPr>
                <w:sz w:val="1"/>
                <w:szCs w:val="1"/>
                <w:color w:val="auto"/>
              </w:rPr>
            </w:pPr>
          </w:p>
        </w:tc>
      </w:tr>
      <w:tr>
        <w:trPr>
          <w:trHeight w:val="198"/>
        </w:trPr>
        <w:tc>
          <w:tcPr>
            <w:tcW w:w="5340" w:type="dxa"/>
            <w:vAlign w:val="bottom"/>
            <w:gridSpan w:val="22"/>
            <w:shd w:val="clear" w:color="auto" w:fill="EAEAEA"/>
          </w:tcPr>
          <w:p>
            <w:pPr>
              <w:ind w:left="20"/>
              <w:spacing w:after="0"/>
              <w:rPr>
                <w:sz w:val="20"/>
                <w:szCs w:val="20"/>
                <w:color w:val="auto"/>
              </w:rPr>
            </w:pPr>
            <w:r>
              <w:rPr>
                <w:rFonts w:ascii="Times New Roman" w:cs="Times New Roman" w:eastAsia="Times New Roman" w:hAnsi="Times New Roman"/>
                <w:sz w:val="16"/>
                <w:szCs w:val="16"/>
                <w:color w:val="auto"/>
                <w:shd w:val="clear" w:color="auto" w:fill="EAEAEA"/>
              </w:rPr>
              <w:t>Total comprehensive</w:t>
            </w:r>
          </w:p>
        </w:tc>
        <w:tc>
          <w:tcPr>
            <w:tcW w:w="4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EAEAEA"/>
              </w:rPr>
              <w:t>15,150</w:t>
            </w:r>
          </w:p>
        </w:tc>
        <w:tc>
          <w:tcPr>
            <w:tcW w:w="500" w:type="dxa"/>
            <w:vAlign w:val="bottom"/>
            <w:gridSpan w:val="6"/>
            <w:shd w:val="clear" w:color="auto" w:fill="EAEAEA"/>
          </w:tcPr>
          <w:p>
            <w:pPr>
              <w:spacing w:after="0"/>
              <w:rPr>
                <w:sz w:val="17"/>
                <w:szCs w:val="17"/>
                <w:color w:val="auto"/>
              </w:rPr>
            </w:pPr>
          </w:p>
        </w:tc>
        <w:tc>
          <w:tcPr>
            <w:tcW w:w="5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354,569</w:t>
            </w:r>
          </w:p>
        </w:tc>
        <w:tc>
          <w:tcPr>
            <w:tcW w:w="3000" w:type="dxa"/>
            <w:vAlign w:val="bottom"/>
            <w:gridSpan w:val="24"/>
            <w:shd w:val="clear" w:color="auto" w:fill="EAEAEA"/>
          </w:tcPr>
          <w:p>
            <w:pPr>
              <w:spacing w:after="0"/>
              <w:rPr>
                <w:sz w:val="17"/>
                <w:szCs w:val="17"/>
                <w:color w:val="auto"/>
              </w:rPr>
            </w:pPr>
          </w:p>
        </w:tc>
        <w:tc>
          <w:tcPr>
            <w:tcW w:w="240" w:type="dxa"/>
            <w:vAlign w:val="bottom"/>
            <w:gridSpan w:val="2"/>
            <w:vMerge w:val="restart"/>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83"/>
                <w:shd w:val="clear" w:color="auto" w:fill="EAEAEA"/>
              </w:rPr>
              <w:t>846</w:t>
            </w:r>
          </w:p>
        </w:tc>
        <w:tc>
          <w:tcPr>
            <w:tcW w:w="520" w:type="dxa"/>
            <w:vAlign w:val="bottom"/>
            <w:gridSpan w:val="4"/>
            <w:shd w:val="clear" w:color="auto" w:fill="EAEAEA"/>
          </w:tcPr>
          <w:p>
            <w:pPr>
              <w:spacing w:after="0"/>
              <w:rPr>
                <w:sz w:val="17"/>
                <w:szCs w:val="17"/>
                <w:color w:val="auto"/>
              </w:rPr>
            </w:pPr>
          </w:p>
        </w:tc>
        <w:tc>
          <w:tcPr>
            <w:tcW w:w="50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2"/>
                <w:shd w:val="clear" w:color="auto" w:fill="EAEAEA"/>
              </w:rPr>
              <w:t>370,565</w:t>
            </w:r>
          </w:p>
        </w:tc>
        <w:tc>
          <w:tcPr>
            <w:tcW w:w="100" w:type="dxa"/>
            <w:vAlign w:val="bottom"/>
            <w:gridSpan w:val="3"/>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EAEAEA"/>
            </w:tcBorders>
            <w:gridSpan w:val="22"/>
            <w:shd w:val="clear" w:color="auto" w:fill="EAEAEA"/>
          </w:tcPr>
          <w:p>
            <w:pPr>
              <w:ind w:left="20"/>
              <w:spacing w:after="0" w:line="152" w:lineRule="exact"/>
              <w:rPr>
                <w:sz w:val="20"/>
                <w:szCs w:val="20"/>
                <w:color w:val="auto"/>
              </w:rPr>
            </w:pPr>
            <w:r>
              <w:rPr>
                <w:rFonts w:ascii="Times New Roman" w:cs="Times New Roman" w:eastAsia="Times New Roman" w:hAnsi="Times New Roman"/>
                <w:sz w:val="16"/>
                <w:szCs w:val="16"/>
                <w:color w:val="auto"/>
                <w:shd w:val="clear" w:color="auto" w:fill="EAEAEA"/>
              </w:rPr>
              <w:t>income, net of taxes</w:t>
            </w:r>
          </w:p>
        </w:tc>
        <w:tc>
          <w:tcPr>
            <w:tcW w:w="440" w:type="dxa"/>
            <w:vAlign w:val="bottom"/>
            <w:tcBorders>
              <w:bottom w:val="single" w:sz="8" w:color="EAEAEA"/>
            </w:tcBorders>
            <w:vMerge w:val="continue"/>
            <w:shd w:val="clear" w:color="auto" w:fill="EAEAEA"/>
          </w:tcPr>
          <w:p>
            <w:pPr>
              <w:spacing w:after="0"/>
              <w:rPr>
                <w:sz w:val="16"/>
                <w:szCs w:val="16"/>
                <w:color w:val="auto"/>
              </w:rPr>
            </w:pPr>
          </w:p>
        </w:tc>
        <w:tc>
          <w:tcPr>
            <w:tcW w:w="500" w:type="dxa"/>
            <w:vAlign w:val="bottom"/>
            <w:tcBorders>
              <w:bottom w:val="single" w:sz="8" w:color="EAEAEA"/>
            </w:tcBorders>
            <w:gridSpan w:val="6"/>
            <w:shd w:val="clear" w:color="auto" w:fill="EAEAEA"/>
          </w:tcPr>
          <w:p>
            <w:pPr>
              <w:spacing w:after="0"/>
              <w:rPr>
                <w:sz w:val="16"/>
                <w:szCs w:val="16"/>
                <w:color w:val="auto"/>
              </w:rPr>
            </w:pPr>
          </w:p>
        </w:tc>
        <w:tc>
          <w:tcPr>
            <w:tcW w:w="520" w:type="dxa"/>
            <w:vAlign w:val="bottom"/>
            <w:tcBorders>
              <w:bottom w:val="single" w:sz="8" w:color="EAEAEA"/>
            </w:tcBorders>
            <w:vMerge w:val="continue"/>
            <w:shd w:val="clear" w:color="auto" w:fill="EAEAEA"/>
          </w:tcPr>
          <w:p>
            <w:pPr>
              <w:spacing w:after="0"/>
              <w:rPr>
                <w:sz w:val="16"/>
                <w:szCs w:val="16"/>
                <w:color w:val="auto"/>
              </w:rPr>
            </w:pPr>
          </w:p>
        </w:tc>
        <w:tc>
          <w:tcPr>
            <w:tcW w:w="3000" w:type="dxa"/>
            <w:vAlign w:val="bottom"/>
            <w:tcBorders>
              <w:bottom w:val="single" w:sz="8" w:color="EAEAEA"/>
            </w:tcBorders>
            <w:gridSpan w:val="24"/>
            <w:shd w:val="clear" w:color="auto" w:fill="EAEAEA"/>
          </w:tcPr>
          <w:p>
            <w:pPr>
              <w:spacing w:after="0"/>
              <w:rPr>
                <w:sz w:val="16"/>
                <w:szCs w:val="16"/>
                <w:color w:val="auto"/>
              </w:rPr>
            </w:pPr>
          </w:p>
        </w:tc>
        <w:tc>
          <w:tcPr>
            <w:tcW w:w="240" w:type="dxa"/>
            <w:vAlign w:val="bottom"/>
            <w:tcBorders>
              <w:bottom w:val="single" w:sz="8" w:color="EAEAEA"/>
            </w:tcBorders>
            <w:gridSpan w:val="2"/>
            <w:vMerge w:val="continue"/>
            <w:shd w:val="clear" w:color="auto" w:fill="EAEAEA"/>
          </w:tcPr>
          <w:p>
            <w:pPr>
              <w:spacing w:after="0"/>
              <w:rPr>
                <w:sz w:val="16"/>
                <w:szCs w:val="16"/>
                <w:color w:val="auto"/>
              </w:rPr>
            </w:pPr>
          </w:p>
        </w:tc>
        <w:tc>
          <w:tcPr>
            <w:tcW w:w="520" w:type="dxa"/>
            <w:vAlign w:val="bottom"/>
            <w:tcBorders>
              <w:bottom w:val="single" w:sz="8" w:color="EAEAEA"/>
            </w:tcBorders>
            <w:gridSpan w:val="4"/>
            <w:shd w:val="clear" w:color="auto" w:fill="EAEAEA"/>
          </w:tcPr>
          <w:p>
            <w:pPr>
              <w:spacing w:after="0"/>
              <w:rPr>
                <w:sz w:val="16"/>
                <w:szCs w:val="16"/>
                <w:color w:val="auto"/>
              </w:rPr>
            </w:pPr>
          </w:p>
        </w:tc>
        <w:tc>
          <w:tcPr>
            <w:tcW w:w="500" w:type="dxa"/>
            <w:vAlign w:val="bottom"/>
            <w:tcBorders>
              <w:bottom w:val="single" w:sz="8" w:color="EAEAEA"/>
            </w:tcBorders>
            <w:gridSpan w:val="2"/>
            <w:vMerge w:val="continue"/>
            <w:shd w:val="clear" w:color="auto" w:fill="EAEAEA"/>
          </w:tcPr>
          <w:p>
            <w:pPr>
              <w:spacing w:after="0"/>
              <w:rPr>
                <w:sz w:val="16"/>
                <w:szCs w:val="16"/>
                <w:color w:val="auto"/>
              </w:rPr>
            </w:pPr>
          </w:p>
        </w:tc>
        <w:tc>
          <w:tcPr>
            <w:tcW w:w="100" w:type="dxa"/>
            <w:vAlign w:val="bottom"/>
            <w:tcBorders>
              <w:bottom w:val="single" w:sz="8" w:color="EAEAEA"/>
            </w:tcBorders>
            <w:gridSpan w:val="3"/>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00" w:type="dxa"/>
            <w:vAlign w:val="bottom"/>
            <w:gridSpan w:val="3"/>
          </w:tcPr>
          <w:p>
            <w:pPr>
              <w:spacing w:after="0" w:line="176" w:lineRule="exact"/>
              <w:rPr>
                <w:sz w:val="20"/>
                <w:szCs w:val="20"/>
                <w:color w:val="auto"/>
              </w:rPr>
            </w:pPr>
            <w:r>
              <w:rPr>
                <w:rFonts w:ascii="Times New Roman" w:cs="Times New Roman" w:eastAsia="Times New Roman" w:hAnsi="Times New Roman"/>
                <w:sz w:val="16"/>
                <w:szCs w:val="16"/>
                <w:color w:val="auto"/>
              </w:rPr>
              <w:t>Balance at December</w:t>
            </w:r>
          </w:p>
        </w:tc>
        <w:tc>
          <w:tcPr>
            <w:tcW w:w="680" w:type="dxa"/>
            <w:vAlign w:val="bottom"/>
            <w:tcBorders>
              <w:top w:val="single" w:sz="8" w:color="auto"/>
            </w:tcBorders>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680" w:type="dxa"/>
            <w:vAlign w:val="bottom"/>
            <w:tcBorders>
              <w:top w:val="single" w:sz="8" w:color="auto"/>
            </w:tcBorders>
            <w:gridSpan w:val="5"/>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gridSpan w:val="5"/>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gridSpan w:val="5"/>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gridSpan w:val="6"/>
          </w:tcPr>
          <w:p>
            <w:pPr>
              <w:spacing w:after="0"/>
              <w:rPr>
                <w:sz w:val="15"/>
                <w:szCs w:val="15"/>
                <w:color w:val="auto"/>
              </w:rPr>
            </w:pPr>
          </w:p>
        </w:tc>
        <w:tc>
          <w:tcPr>
            <w:tcW w:w="220" w:type="dxa"/>
            <w:vAlign w:val="bottom"/>
            <w:gridSpan w:val="4"/>
          </w:tcPr>
          <w:p>
            <w:pPr>
              <w:spacing w:after="0"/>
              <w:rPr>
                <w:sz w:val="15"/>
                <w:szCs w:val="15"/>
                <w:color w:val="auto"/>
              </w:rPr>
            </w:pPr>
          </w:p>
        </w:tc>
        <w:tc>
          <w:tcPr>
            <w:tcW w:w="800" w:type="dxa"/>
            <w:vAlign w:val="bottom"/>
            <w:tcBorders>
              <w:top w:val="single" w:sz="8" w:color="auto"/>
            </w:tcBorders>
            <w:gridSpan w:val="7"/>
          </w:tcPr>
          <w:p>
            <w:pPr>
              <w:spacing w:after="0"/>
              <w:rPr>
                <w:sz w:val="15"/>
                <w:szCs w:val="15"/>
                <w:color w:val="auto"/>
              </w:rPr>
            </w:pPr>
          </w:p>
        </w:tc>
        <w:tc>
          <w:tcPr>
            <w:tcW w:w="220" w:type="dxa"/>
            <w:vAlign w:val="bottom"/>
            <w:gridSpan w:val="2"/>
          </w:tcPr>
          <w:p>
            <w:pPr>
              <w:spacing w:after="0"/>
              <w:rPr>
                <w:sz w:val="15"/>
                <w:szCs w:val="15"/>
                <w:color w:val="auto"/>
              </w:rPr>
            </w:pPr>
          </w:p>
        </w:tc>
        <w:tc>
          <w:tcPr>
            <w:tcW w:w="1060" w:type="dxa"/>
            <w:vAlign w:val="bottom"/>
            <w:tcBorders>
              <w:top w:val="single" w:sz="8" w:color="auto"/>
            </w:tcBorders>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auto"/>
            </w:tcBorders>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31, 2025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65,472</w:t>
            </w:r>
          </w:p>
        </w:tc>
        <w:tc>
          <w:tcPr>
            <w:tcW w:w="2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873,249</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86,342</w:t>
            </w:r>
          </w:p>
        </w:tc>
        <w:tc>
          <w:tcPr>
            <w:tcW w:w="2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3,332,941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8"/>
          </w:tcPr>
          <w:p>
            <w:pPr>
              <w:jc w:val="right"/>
              <w:spacing w:after="0"/>
              <w:rPr>
                <w:sz w:val="20"/>
                <w:szCs w:val="20"/>
                <w:color w:val="auto"/>
              </w:rPr>
            </w:pPr>
            <w:r>
              <w:rPr>
                <w:rFonts w:ascii="Times New Roman" w:cs="Times New Roman" w:eastAsia="Times New Roman" w:hAnsi="Times New Roman"/>
                <w:sz w:val="16"/>
                <w:szCs w:val="16"/>
                <w:color w:val="auto"/>
              </w:rPr>
              <w:t>(11,701 )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(918,567 )</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2,281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3,382,793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Borders>
              <w:top w:val="single" w:sz="8" w:color="auto"/>
              <w:bottom w:val="single" w:sz="8" w:color="auto"/>
            </w:tcBorders>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1070610</wp:posOffset>
            </wp:positionH>
            <wp:positionV relativeFrom="paragraph">
              <wp:posOffset>-6665595</wp:posOffset>
            </wp:positionV>
            <wp:extent cx="1035050"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5">
                      <a:extLst>
                        <a:ext uri="{28A0092B-C50C-407E-A947-70E740481C1C}"/>
                      </a:extLst>
                    </a:blip>
                    <a:srcRect/>
                    <a:stretch>
                      <a:fillRect/>
                    </a:stretch>
                  </pic:blipFill>
                  <pic:spPr bwMode="auto">
                    <a:xfrm>
                      <a:off x="0" y="0"/>
                      <a:ext cx="1035050" cy="3492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-6665595</wp:posOffset>
            </wp:positionV>
            <wp:extent cx="1107440"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6">
                      <a:extLst>
                        <a:ext uri="{28A0092B-C50C-407E-A947-70E740481C1C}"/>
                      </a:extLst>
                    </a:blip>
                    <a:srcRect/>
                    <a:stretch>
                      <a:fillRect/>
                    </a:stretch>
                  </pic:blipFill>
                  <pic:spPr bwMode="auto">
                    <a:xfrm>
                      <a:off x="0" y="0"/>
                      <a:ext cx="1107440"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1160"/>
          </w:cols>
          <w:pgMar w:left="540" w:top="926" w:right="540" w:bottom="175"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1160"/>
          </w:cols>
          <w:pgMar w:left="540" w:top="926" w:right="540" w:bottom="175"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KIRBY CORPORATION AND CONSOLIDATED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Summary of Significant Accounting Policies</w:t>
      </w:r>
    </w:p>
    <w:p>
      <w:pPr>
        <w:spacing w:after="0" w:line="204" w:lineRule="exact"/>
        <w:rPr>
          <w:sz w:val="20"/>
          <w:szCs w:val="20"/>
          <w:color w:val="auto"/>
        </w:rPr>
      </w:pPr>
    </w:p>
    <w:p>
      <w:pPr>
        <w:jc w:val="both"/>
        <w:ind w:firstLine="359"/>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The consolidated financial statements include the accounts of Kirby Corporation and all majority-owned subsidiaries (the “Company”).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 Such reclassifications have no impact on previously reported net earnings (loss), stockholders’ equity, or cash flow</w:t>
      </w:r>
    </w:p>
    <w:p>
      <w:pPr>
        <w:spacing w:after="0" w:line="15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Effective January 1, 2024, the power generation revenue source within the distribution and services segment (“KDS”) has been broken out from the commercial and industrial and oil and gas revenue sources due to the significance of the power generation market to the Company’s growth. This change had no net impact on overall Company or segment revenues and has been reflected retrospectively for all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Policies</w:t>
      </w:r>
    </w:p>
    <w:p>
      <w:pPr>
        <w:spacing w:after="0" w:line="19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Cash Equivalents. </w:t>
      </w:r>
      <w:r>
        <w:rPr>
          <w:rFonts w:ascii="Times New Roman" w:cs="Times New Roman" w:eastAsia="Times New Roman" w:hAnsi="Times New Roman"/>
          <w:sz w:val="20"/>
          <w:szCs w:val="20"/>
          <w:color w:val="auto"/>
        </w:rPr>
        <w:t>Cash equivalents consist of all short-term, highly liquid investments with maturities of three months or less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of purchase.</w:t>
      </w:r>
    </w:p>
    <w:p>
      <w:pPr>
        <w:spacing w:after="0" w:line="12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Accounts Receivable </w:t>
      </w:r>
      <w:r>
        <w:rPr>
          <w:rFonts w:ascii="Times New Roman" w:cs="Times New Roman" w:eastAsia="Times New Roman" w:hAnsi="Times New Roman"/>
          <w:sz w:val="20"/>
          <w:szCs w:val="20"/>
          <w:color w:val="auto"/>
        </w:rPr>
        <w:t>In the normal course of business, the Company extends credit to its customers. The Company regularly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reviews the accounts and makes adequate provisions for probable uncollectible balances. It is the Company’s opinion that the accounts have no impairment, other than that for which provisions have been made. Included in accounts receivable-trade as of December 31, 2025 and 2024 were $126.5 million and $131.9 million, respectively, of accruals for revenues earned which have not been invoiced as of the end of each year.</w:t>
      </w:r>
    </w:p>
    <w:p>
      <w:pPr>
        <w:spacing w:after="0" w:line="15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Accrued Insurance </w:t>
      </w:r>
      <w:r>
        <w:rPr>
          <w:rFonts w:ascii="Times New Roman" w:cs="Times New Roman" w:eastAsia="Times New Roman" w:hAnsi="Times New Roman"/>
          <w:sz w:val="20"/>
          <w:szCs w:val="20"/>
          <w:color w:val="auto"/>
        </w:rPr>
        <w:t>The Company’s marine transportation and distribution and services operations are subject to hazards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associated with such businesses. The marine transportation business in particular is subject to property damage and casualty risks associated with operating vessels carrying large volumes of bulk liquid and dry cargo in a marine environment. The Company maintains insurance coverage against these hazards with insurance companies subject to a deductible, below which the Company is liable. The Company uses historic experience and actuarial analysis by outside consultants to estimate an appropriate level of accrued insurance liabilities including estimates on individual claims outstanding and an estimated amount for losses that may have occurred but have not been reported to the Company (“IBNR”) or not yet fully developed. If the actual number of claims and magnitude were substantially greater than assumed, the required level of accrued liabilities for claims incurred but not reported or fully developed could be materially understated. Insurance premiums, IBNR losses and incurred claim losses, up to the Company’s deductible for th years ended December 31, 2025, 2024, and 2023, were $40.0 million, $47.9 million, and $52.5 million, respectively.</w:t>
      </w:r>
    </w:p>
    <w:p>
      <w:pPr>
        <w:spacing w:after="0" w:line="162" w:lineRule="exact"/>
        <w:rPr>
          <w:sz w:val="20"/>
          <w:szCs w:val="20"/>
          <w:color w:val="auto"/>
        </w:rPr>
      </w:pPr>
    </w:p>
    <w:p>
      <w:pPr>
        <w:jc w:val="both"/>
        <w:ind w:firstLine="354"/>
        <w:spacing w:after="0" w:line="259" w:lineRule="auto"/>
        <w:rPr>
          <w:sz w:val="20"/>
          <w:szCs w:val="20"/>
          <w:color w:val="auto"/>
        </w:rPr>
      </w:pPr>
      <w:r>
        <w:rPr>
          <w:rFonts w:ascii="Times New Roman" w:cs="Times New Roman" w:eastAsia="Times New Roman" w:hAnsi="Times New Roman"/>
          <w:sz w:val="20"/>
          <w:szCs w:val="20"/>
          <w:color w:val="auto"/>
        </w:rPr>
        <w:t>The Company records receivables from its insurers for incurred claims above the Company’s deductible. If the solvency of the insurers becomes impaired, there could be an adverse impact on the accrued receivables and the availability of insurance. Included in</w:t>
      </w:r>
    </w:p>
    <w:p>
      <w:pPr>
        <w:spacing w:after="0" w:line="1" w:lineRule="exact"/>
        <w:rPr>
          <w:sz w:val="20"/>
          <w:szCs w:val="20"/>
          <w:color w:val="auto"/>
        </w:rPr>
      </w:pPr>
    </w:p>
    <w:p>
      <w:pPr>
        <w:jc w:val="both"/>
        <w:ind w:firstLine="1"/>
        <w:spacing w:after="0"/>
        <w:rPr>
          <w:sz w:val="20"/>
          <w:szCs w:val="20"/>
          <w:color w:val="auto"/>
        </w:rPr>
      </w:pPr>
      <w:r>
        <w:rPr>
          <w:rFonts w:ascii="Times New Roman" w:cs="Times New Roman" w:eastAsia="Times New Roman" w:hAnsi="Times New Roman"/>
          <w:sz w:val="20"/>
          <w:szCs w:val="20"/>
          <w:color w:val="auto"/>
        </w:rPr>
        <w:t>accounts receivable-other as of December 31, 2025 and 2024 were $23.6 million and $28.3 million, respectively, of receivables f</w:t>
      </w:r>
      <w:r>
        <w:rPr>
          <w:sz w:val="1"/>
          <w:szCs w:val="1"/>
          <w:color w:val="auto"/>
        </w:rPr>
        <w:drawing>
          <wp:inline distT="0" distB="0" distL="0" distR="0">
            <wp:extent cx="12065" cy="571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7">
                      <a:extLst>
                        <a:ext uri="{28A0092B-C50C-407E-A947-70E740481C1C}"/>
                      </a:extLst>
                    </a:blip>
                    <a:srcRect/>
                    <a:stretch>
                      <a:fillRect/>
                    </a:stretch>
                  </pic:blipFill>
                  <pic:spPr bwMode="auto">
                    <a:xfrm>
                      <a:off x="0" y="0"/>
                      <a:ext cx="12065" cy="5715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om insurance companies to cover claims in excess of the Company’s deductible.</w:t>
      </w:r>
    </w:p>
    <w:p>
      <w:pPr>
        <w:spacing w:after="0" w:line="16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Concentrations of Credit Risk. </w:t>
      </w:r>
      <w:r>
        <w:rPr>
          <w:rFonts w:ascii="Times New Roman" w:cs="Times New Roman" w:eastAsia="Times New Roman" w:hAnsi="Times New Roman"/>
          <w:sz w:val="20"/>
          <w:szCs w:val="20"/>
          <w:color w:val="auto"/>
        </w:rPr>
        <w:t>Financial instruments which potentially subject the Company to concentrations of credit risk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trade accounts receivables. The Company’s marine transportation customers include the major oil refining and</w:t>
      </w:r>
    </w:p>
    <w:p>
      <w:pPr>
        <w:jc w:val="both"/>
        <w:spacing w:after="0" w:line="241" w:lineRule="auto"/>
        <w:rPr>
          <w:sz w:val="20"/>
          <w:szCs w:val="20"/>
          <w:color w:val="auto"/>
        </w:rPr>
      </w:pPr>
      <w:r>
        <w:rPr>
          <w:rFonts w:ascii="Times New Roman" w:cs="Times New Roman" w:eastAsia="Times New Roman" w:hAnsi="Times New Roman"/>
          <w:sz w:val="20"/>
          <w:szCs w:val="20"/>
          <w:color w:val="auto"/>
        </w:rPr>
        <w:t>petrochemical companies. The distribution and services customers are oilfield service companies, oil and gas operators and producers on-highway transportation companies, marine transportation companies, commercial fishing companies, construction companies, power generation companies, and the United States government. The Company regularly reviews its accounts and estimates the amount of uncollectible receivables each period and establishes an allowance for uncollectible amounts. The amount of the allowanc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20" w:lineRule="exact"/>
        <w:rPr>
          <w:sz w:val="20"/>
          <w:szCs w:val="20"/>
          <w:color w:val="auto"/>
        </w:rPr>
      </w:pPr>
    </w:p>
    <w:p>
      <w:pPr>
        <w:spacing w:after="0" w:line="146"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20"/>
          <w:szCs w:val="20"/>
          <w:color w:val="auto"/>
        </w:rPr>
        <w:t>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Inventories are stated at the lower of average cost or net realizable value.</w:t>
      </w:r>
    </w:p>
    <w:p>
      <w:pPr>
        <w:spacing w:after="0" w:line="23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Property, Maintenance and Repairs. </w:t>
      </w:r>
      <w:r>
        <w:rPr>
          <w:rFonts w:ascii="Times New Roman" w:cs="Times New Roman" w:eastAsia="Times New Roman" w:hAnsi="Times New Roman"/>
          <w:sz w:val="20"/>
          <w:szCs w:val="20"/>
          <w:color w:val="auto"/>
        </w:rPr>
        <w:t>Property is recorded at cost or acquisition date fair value; improvements and betterments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capitalized as incurred. Depreciation is recorded using the straight-line method over the estimated useful lives of the individual assets as follows: marine transportation equipment, 5-40 years; buildings, 10-40 years; other equipment, 2-10 years; and leasehold</w:t>
      </w:r>
    </w:p>
    <w:p>
      <w:pPr>
        <w:sectPr>
          <w:pgSz w:w="12240" w:h="15840" w:orient="portrait"/>
          <w:cols w:equalWidth="0" w:num="1">
            <w:col w:w="10800"/>
          </w:cols>
          <w:pgMar w:left="720" w:top="926" w:right="720" w:bottom="199" w:gutter="0" w:footer="0" w:header="0"/>
        </w:sectPr>
      </w:pP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ectPr>
          <w:pgSz w:w="12240" w:h="15840" w:orient="portrait"/>
          <w:cols w:equalWidth="0" w:num="1">
            <w:col w:w="10800"/>
          </w:cols>
          <w:pgMar w:left="720" w:top="926" w:right="720" w:bottom="199" w:gutter="0" w:footer="0" w:header="0"/>
          <w:type w:val="continuous"/>
        </w:sectPr>
      </w:pPr>
    </w:p>
    <w:bookmarkStart w:id="70" w:name="page71"/>
    <w:bookmarkEnd w:id="70"/>
    <w:p>
      <w:pPr>
        <w:jc w:val="both"/>
        <w:ind w:firstLine="6"/>
        <w:spacing w:after="0" w:line="246" w:lineRule="auto"/>
        <w:rPr>
          <w:sz w:val="20"/>
          <w:szCs w:val="20"/>
          <w:color w:val="auto"/>
        </w:rPr>
      </w:pPr>
      <w:r>
        <w:rPr>
          <w:rFonts w:ascii="Times New Roman" w:cs="Times New Roman" w:eastAsia="Times New Roman" w:hAnsi="Times New Roman"/>
          <w:sz w:val="20"/>
          <w:szCs w:val="20"/>
          <w:color w:val="auto"/>
        </w:rPr>
        <w:t>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United States Coast Guard (“USCG”) inspections unless the shipyard extends the life, improves the operating capacity, or replaces significant components of the vessel, which results in the costs being capitalized. Interest is capitalized on the construction of new vessels. For the year ended December 31, 2025, $1.0 million of interest was capitalized. For the years ended 2024 and 2023, no interest was capitalized.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balances of property and equipment – net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8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gridSpan w:val="9"/>
          </w:tcPr>
          <w:p>
            <w:pP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1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8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Land</w:t>
            </w:r>
          </w:p>
        </w:tc>
        <w:tc>
          <w:tcPr>
            <w:tcW w:w="10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84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38,158</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38,157</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Marine transportation equipment</w:t>
            </w:r>
          </w:p>
        </w:tc>
        <w:tc>
          <w:tcPr>
            <w:tcW w:w="100" w:type="dxa"/>
            <w:vAlign w:val="bottom"/>
          </w:tcPr>
          <w:p>
            <w:pPr>
              <w:spacing w:after="0"/>
              <w:rPr>
                <w:sz w:val="20"/>
                <w:szCs w:val="20"/>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5,471,078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5,234,475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Buildings and other equipment</w:t>
            </w: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860" w:type="dxa"/>
            <w:vAlign w:val="bottom"/>
            <w:gridSpan w:val="4"/>
            <w:shd w:val="clear" w:color="auto" w:fill="EAEAEA"/>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800,030</w:t>
            </w: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74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745,897</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82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Construction in progress</w:t>
            </w:r>
          </w:p>
        </w:tc>
        <w:tc>
          <w:tcPr>
            <w:tcW w:w="10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5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220" w:type="dxa"/>
            <w:vAlign w:val="bottom"/>
            <w:gridSpan w:val="2"/>
            <w:vMerge w:val="restart"/>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8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9"/>
                <w:szCs w:val="19"/>
                <w:color w:val="auto"/>
                <w:highlight w:val="white"/>
                <w:w w:val="95"/>
              </w:rPr>
              <w:t>83,719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104,679</w:t>
            </w: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8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8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16"/>
                <w:szCs w:val="16"/>
                <w:color w:val="auto"/>
              </w:rPr>
            </w:pPr>
          </w:p>
        </w:tc>
        <w:tc>
          <w:tcPr>
            <w:tcW w:w="84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6,392,985</w:t>
            </w: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16"/>
                <w:szCs w:val="16"/>
                <w:color w:val="auto"/>
              </w:rPr>
            </w:pPr>
          </w:p>
        </w:tc>
        <w:tc>
          <w:tcPr>
            <w:tcW w:w="84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6,123,208</w:t>
            </w: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2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Accumulated depreciation</w:t>
            </w:r>
          </w:p>
        </w:tc>
        <w:tc>
          <w:tcPr>
            <w:tcW w:w="10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840" w:type="dxa"/>
            <w:vAlign w:val="bottom"/>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860" w:type="dxa"/>
            <w:vAlign w:val="bottom"/>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280" w:type="dxa"/>
            <w:vAlign w:val="bottom"/>
            <w:tcBorders>
              <w:bottom w:val="single" w:sz="8" w:color="EAEAEA"/>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4"/>
              </w:rPr>
              <w:t>(2,294,927</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tcBorders>
              <w:bottom w:val="single" w:sz="8" w:color="EAEAEA"/>
            </w:tcBorders>
            <w:vMerge w:val="continue"/>
          </w:tcPr>
          <w:p>
            <w:pPr>
              <w:spacing w:after="0"/>
              <w:rPr>
                <w:sz w:val="15"/>
                <w:szCs w:val="15"/>
                <w:color w:val="auto"/>
              </w:rPr>
            </w:pPr>
          </w:p>
        </w:tc>
        <w:tc>
          <w:tcPr>
            <w:tcW w:w="140" w:type="dxa"/>
            <w:vAlign w:val="bottom"/>
            <w:tcBorders>
              <w:bottom w:val="single" w:sz="8" w:color="EAEAE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gridSpan w:val="4"/>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94"/>
              </w:rPr>
              <w:t>(2,100,242</w:t>
            </w:r>
          </w:p>
        </w:tc>
        <w:tc>
          <w:tcPr>
            <w:tcW w:w="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Borders>
              <w:bottom w:val="single" w:sz="8" w:color="EAEAE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280" w:type="dxa"/>
            <w:vAlign w:val="bottom"/>
            <w:tcBorders>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Property and equipment – net</w:t>
            </w:r>
          </w:p>
        </w:tc>
        <w:tc>
          <w:tcPr>
            <w:tcW w:w="1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19"/>
                <w:szCs w:val="19"/>
                <w:color w:val="auto"/>
              </w:rPr>
            </w:pPr>
          </w:p>
        </w:tc>
        <w:tc>
          <w:tcPr>
            <w:tcW w:w="840" w:type="dxa"/>
            <w:vAlign w:val="bottom"/>
            <w:tcBorders>
              <w:bottom w:val="single" w:sz="8" w:color="EAEAEA"/>
            </w:tcBorders>
            <w:gridSpan w:val="3"/>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4,098,058</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0" w:type="dxa"/>
            <w:vAlign w:val="bottom"/>
            <w:tcBorders>
              <w:bottom w:val="single" w:sz="8" w:color="EAEAEA"/>
            </w:tcBorders>
            <w:shd w:val="clear" w:color="auto" w:fill="EAEAEA"/>
          </w:tcPr>
          <w:p>
            <w:pPr>
              <w:spacing w:after="0"/>
              <w:rPr>
                <w:sz w:val="19"/>
                <w:szCs w:val="19"/>
                <w:color w:val="auto"/>
              </w:rPr>
            </w:pPr>
          </w:p>
        </w:tc>
        <w:tc>
          <w:tcPr>
            <w:tcW w:w="860" w:type="dxa"/>
            <w:vAlign w:val="bottom"/>
            <w:tcBorders>
              <w:bottom w:val="single" w:sz="8" w:color="EAEAEA"/>
            </w:tcBorders>
            <w:gridSpan w:val="4"/>
            <w:shd w:val="clear" w:color="auto" w:fill="EAEAEA"/>
          </w:tcPr>
          <w:p>
            <w:pPr>
              <w:jc w:val="right"/>
              <w:ind w:right="20"/>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4,022,966</w:t>
            </w: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-1217930</wp:posOffset>
            </wp:positionV>
            <wp:extent cx="156654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8">
                      <a:extLst>
                        <a:ext uri="{28A0092B-C50C-407E-A947-70E740481C1C}"/>
                      </a:extLst>
                    </a:blip>
                    <a:srcRect/>
                    <a:stretch>
                      <a:fillRect/>
                    </a:stretch>
                  </pic:blipFill>
                  <pic:spPr bwMode="auto">
                    <a:xfrm>
                      <a:off x="0" y="0"/>
                      <a:ext cx="1566545" cy="34925"/>
                    </a:xfrm>
                    <a:prstGeom prst="rect">
                      <a:avLst/>
                    </a:prstGeom>
                    <a:noFill/>
                  </pic:spPr>
                </pic:pic>
              </a:graphicData>
            </a:graphic>
          </wp:anchor>
        </w:drawing>
      </w:r>
    </w:p>
    <w:p>
      <w:pPr>
        <w:spacing w:after="0" w:line="16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Drydocking on Ocean-Going Vessels. </w:t>
      </w:r>
      <w:r>
        <w:rPr>
          <w:rFonts w:ascii="Times New Roman" w:cs="Times New Roman" w:eastAsia="Times New Roman" w:hAnsi="Times New Roman"/>
          <w:sz w:val="20"/>
          <w:szCs w:val="20"/>
          <w:color w:val="auto"/>
        </w:rPr>
        <w:t>The Company’s ocean-going vessels are subject to regulatory drydocking requirements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after certain periods of time to be inspected, have planned major maintenance performed and be recertified by the American Bureau of Shipping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improve the operating capability, or replace significant components of the vessel are capitalized. The Company recognized amortization of major maintenance costs of $29.5 million, $32.6 million, and $29.0 million for the years ended December 31, 2025, 2024, and 2023, respectively, in costs of sales and operating expenses. Routine repairs and maintenance on ocean-going vessels are expensed as incurred. Interest is capitalized on the construction of new vessels. For the years ended December 31, 2025, 2024 and 2023, no interest was capitalized.</w:t>
      </w:r>
    </w:p>
    <w:p>
      <w:pPr>
        <w:spacing w:after="0" w:line="162" w:lineRule="exact"/>
        <w:rPr>
          <w:sz w:val="20"/>
          <w:szCs w:val="20"/>
          <w:color w:val="auto"/>
        </w:rPr>
      </w:pPr>
    </w:p>
    <w:p>
      <w:pPr>
        <w:jc w:val="both"/>
        <w:ind w:firstLine="353"/>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Environmental Liabilities </w:t>
      </w:r>
      <w:r>
        <w:rPr>
          <w:rFonts w:ascii="Times New Roman" w:cs="Times New Roman" w:eastAsia="Times New Roman" w:hAnsi="Times New Roman"/>
          <w:sz w:val="20"/>
          <w:szCs w:val="20"/>
          <w:color w:val="auto"/>
        </w:rPr>
        <w:t>The Company expenses costs related to environmental events as they are incurred or when a loss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considered probable and reasonably estimable.</w:t>
      </w:r>
    </w:p>
    <w:p>
      <w:pPr>
        <w:spacing w:after="0" w:line="129"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The excess of the purchase price over the fair value of identifiable net assets acquired in transactions accounted for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is included in goodwill. The Company conducted its annual goodwill impairment tests at November 30, 2025, 2024, and 2023. The Company will conduct goodwill impairment tests as of November 30 of subsequent years, or whenever events or circumstances indicate that interim impairment testing is necessary. The amount of goodwill impairment, if any, is typically measured based on a combination of projected discounted future operating cash flows using an appropriate discount rate and a market approach for comparable companies. The following table summarizes the changes in goodwill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Marine</w:t>
            </w:r>
          </w:p>
        </w:tc>
        <w:tc>
          <w:tcPr>
            <w:tcW w:w="156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Distribution and</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4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5"/>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6"/>
              </w:rPr>
              <w:t>Services</w:t>
            </w:r>
          </w:p>
        </w:tc>
        <w:tc>
          <w:tcPr>
            <w:tcW w:w="80" w:type="dxa"/>
            <w:vAlign w:val="bottom"/>
          </w:tcPr>
          <w:p>
            <w:pPr>
              <w:spacing w:after="0"/>
              <w:rPr>
                <w:sz w:val="5"/>
                <w:szCs w:val="5"/>
                <w:color w:val="auto"/>
              </w:rPr>
            </w:pPr>
          </w:p>
        </w:tc>
        <w:tc>
          <w:tcPr>
            <w:tcW w:w="13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43"/>
        </w:trPr>
        <w:tc>
          <w:tcPr>
            <w:tcW w:w="20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9"/>
              </w:rPr>
              <w:t>Transportation</w:t>
            </w:r>
          </w:p>
        </w:tc>
        <w:tc>
          <w:tcPr>
            <w:tcW w:w="1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040" w:type="dxa"/>
            <w:vAlign w:val="bottom"/>
            <w:tcBorders>
              <w:top w:val="single" w:sz="8" w:color="EAEAEA"/>
            </w:tcBorders>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Balance at December 31,</w:t>
            </w:r>
          </w:p>
        </w:tc>
        <w:tc>
          <w:tcPr>
            <w:tcW w:w="4260" w:type="dxa"/>
            <w:vAlign w:val="bottom"/>
            <w:tcBorders>
              <w:top w:val="single" w:sz="8" w:color="EAEAEA"/>
            </w:tcBorders>
            <w:shd w:val="clear" w:color="auto" w:fill="EAEAEA"/>
          </w:tcPr>
          <w:p>
            <w:pPr>
              <w:ind w:left="2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2024 and 2025 (gross)</w:t>
            </w:r>
          </w:p>
        </w:tc>
        <w:tc>
          <w:tcPr>
            <w:tcW w:w="80" w:type="dxa"/>
            <w:vAlign w:val="bottom"/>
            <w:tcBorders>
              <w:top w:val="single" w:sz="8" w:color="auto"/>
            </w:tcBorders>
            <w:shd w:val="clear" w:color="auto" w:fill="EAEAEA"/>
          </w:tcPr>
          <w:p>
            <w:pPr>
              <w:spacing w:after="0"/>
              <w:rPr>
                <w:sz w:val="19"/>
                <w:szCs w:val="19"/>
                <w:color w:val="auto"/>
              </w:rPr>
            </w:pPr>
          </w:p>
        </w:tc>
        <w:tc>
          <w:tcPr>
            <w:tcW w:w="500" w:type="dxa"/>
            <w:vAlign w:val="bottom"/>
            <w:tcBorders>
              <w:top w:val="single" w:sz="8" w:color="auto"/>
            </w:tcBorders>
            <w:gridSpan w:val="2"/>
            <w:shd w:val="clear" w:color="auto" w:fill="EAEAEA"/>
          </w:tcPr>
          <w:p>
            <w:pPr>
              <w:spacing w:after="0"/>
              <w:rPr>
                <w:sz w:val="19"/>
                <w:szCs w:val="19"/>
                <w:color w:val="auto"/>
              </w:rPr>
            </w:pPr>
          </w:p>
        </w:tc>
        <w:tc>
          <w:tcPr>
            <w:tcW w:w="700" w:type="dxa"/>
            <w:vAlign w:val="bottom"/>
            <w:tcBorders>
              <w:top w:val="single" w:sz="8" w:color="auto"/>
            </w:tcBorders>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505,784</w:t>
            </w:r>
          </w:p>
        </w:tc>
        <w:tc>
          <w:tcPr>
            <w:tcW w:w="20" w:type="dxa"/>
            <w:vAlign w:val="bottom"/>
            <w:tcBorders>
              <w:top w:val="single" w:sz="8" w:color="auto"/>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c>
          <w:tcPr>
            <w:tcW w:w="200" w:type="dxa"/>
            <w:vAlign w:val="bottom"/>
            <w:tcBorders>
              <w:top w:val="single" w:sz="8" w:color="EAEAEA"/>
            </w:tcBorders>
            <w:shd w:val="clear" w:color="auto" w:fill="EAEAEA"/>
          </w:tcPr>
          <w:p>
            <w:pPr>
              <w:spacing w:after="0"/>
              <w:rPr>
                <w:sz w:val="19"/>
                <w:szCs w:val="19"/>
                <w:color w:val="auto"/>
              </w:rPr>
            </w:pPr>
          </w:p>
        </w:tc>
        <w:tc>
          <w:tcPr>
            <w:tcW w:w="220" w:type="dxa"/>
            <w:vAlign w:val="bottom"/>
            <w:tcBorders>
              <w:top w:val="single" w:sz="8" w:color="auto"/>
            </w:tcBorders>
            <w:shd w:val="clear" w:color="auto" w:fill="EAEAEA"/>
          </w:tcPr>
          <w:p>
            <w:pPr>
              <w:spacing w:after="0"/>
              <w:rPr>
                <w:sz w:val="19"/>
                <w:szCs w:val="19"/>
                <w:color w:val="auto"/>
              </w:rPr>
            </w:pPr>
          </w:p>
        </w:tc>
        <w:tc>
          <w:tcPr>
            <w:tcW w:w="360" w:type="dxa"/>
            <w:vAlign w:val="bottom"/>
            <w:tcBorders>
              <w:top w:val="single" w:sz="8" w:color="auto"/>
            </w:tcBorders>
            <w:shd w:val="clear" w:color="auto" w:fill="EAEAEA"/>
          </w:tcPr>
          <w:p>
            <w:pPr>
              <w:spacing w:after="0"/>
              <w:rPr>
                <w:sz w:val="19"/>
                <w:szCs w:val="19"/>
                <w:color w:val="auto"/>
              </w:rPr>
            </w:pPr>
          </w:p>
        </w:tc>
        <w:tc>
          <w:tcPr>
            <w:tcW w:w="700" w:type="dxa"/>
            <w:vAlign w:val="bottom"/>
            <w:tcBorders>
              <w:top w:val="single" w:sz="8" w:color="auto"/>
            </w:tcBorders>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560,155</w:t>
            </w:r>
          </w:p>
        </w:tc>
        <w:tc>
          <w:tcPr>
            <w:tcW w:w="20" w:type="dxa"/>
            <w:vAlign w:val="bottom"/>
            <w:tcBorders>
              <w:top w:val="single" w:sz="8" w:color="auto"/>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c>
          <w:tcPr>
            <w:tcW w:w="20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auto"/>
            </w:tcBorders>
            <w:shd w:val="clear" w:color="auto" w:fill="EAEAEA"/>
          </w:tcPr>
          <w:p>
            <w:pPr>
              <w:spacing w:after="0"/>
              <w:rPr>
                <w:sz w:val="19"/>
                <w:szCs w:val="19"/>
                <w:color w:val="auto"/>
              </w:rPr>
            </w:pPr>
          </w:p>
        </w:tc>
        <w:tc>
          <w:tcPr>
            <w:tcW w:w="1200" w:type="dxa"/>
            <w:vAlign w:val="bottom"/>
            <w:tcBorders>
              <w:top w:val="single" w:sz="8" w:color="auto"/>
            </w:tcBorders>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rPr>
              <w:t>1,065,939</w:t>
            </w:r>
          </w:p>
        </w:tc>
        <w:tc>
          <w:tcPr>
            <w:tcW w:w="20" w:type="dxa"/>
            <w:vAlign w:val="bottom"/>
            <w:tcBorders>
              <w:top w:val="single" w:sz="8" w:color="auto"/>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6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Accumulated impairment and amortization</w:t>
            </w:r>
          </w:p>
        </w:tc>
        <w:tc>
          <w:tcPr>
            <w:tcW w:w="80" w:type="dxa"/>
            <w:vAlign w:val="bottom"/>
          </w:tcPr>
          <w:p>
            <w:pPr>
              <w:spacing w:after="0"/>
              <w:rPr>
                <w:sz w:val="4"/>
                <w:szCs w:val="4"/>
                <w:color w:val="auto"/>
              </w:rPr>
            </w:pPr>
          </w:p>
        </w:tc>
        <w:tc>
          <w:tcPr>
            <w:tcW w:w="500" w:type="dxa"/>
            <w:vAlign w:val="bottom"/>
            <w:gridSpan w:val="2"/>
            <w:vMerge w:val="restart"/>
          </w:tcPr>
          <w:p>
            <w:pPr>
              <w:spacing w:after="0"/>
              <w:rPr>
                <w:sz w:val="4"/>
                <w:szCs w:val="4"/>
                <w:color w:val="auto"/>
              </w:rPr>
            </w:pPr>
          </w:p>
        </w:tc>
        <w:tc>
          <w:tcPr>
            <w:tcW w:w="70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EAEAEA"/>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4"/>
              </w:rPr>
              <w:t>(237,626</w:t>
            </w: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AEAEA"/>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EAEAEA"/>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4"/>
              </w:rPr>
              <w:t>(389,565</w:t>
            </w: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AEAEA"/>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EAEAEA"/>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4"/>
              </w:rPr>
              <w:t>(627,191</w:t>
            </w: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AEAEA"/>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EAEAE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40" w:type="dxa"/>
            <w:vAlign w:val="bottom"/>
            <w:tcBorders>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Balance at December 31,</w:t>
            </w:r>
          </w:p>
        </w:tc>
        <w:tc>
          <w:tcPr>
            <w:tcW w:w="4260" w:type="dxa"/>
            <w:vAlign w:val="bottom"/>
            <w:tcBorders>
              <w:bottom w:val="single" w:sz="8" w:color="EAEAEA"/>
            </w:tcBorders>
            <w:shd w:val="clear" w:color="auto" w:fill="EAEAEA"/>
          </w:tcPr>
          <w:p>
            <w:pPr>
              <w:ind w:left="20"/>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2024 and 2025</w:t>
            </w: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00" w:type="dxa"/>
            <w:vAlign w:val="bottom"/>
            <w:tcBorders>
              <w:bottom w:val="single" w:sz="8" w:color="EAEAEA"/>
            </w:tcBorders>
            <w:gridSpan w:val="2"/>
            <w:shd w:val="clear" w:color="auto" w:fill="EAEAEA"/>
          </w:tcPr>
          <w:p>
            <w:pPr>
              <w:spacing w:after="0"/>
              <w:rPr>
                <w:sz w:val="19"/>
                <w:szCs w:val="19"/>
                <w:color w:val="auto"/>
              </w:rPr>
            </w:pPr>
          </w:p>
        </w:tc>
        <w:tc>
          <w:tcPr>
            <w:tcW w:w="700" w:type="dxa"/>
            <w:vAlign w:val="bottom"/>
            <w:tcBorders>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268,158</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jc w:val="right"/>
              <w:ind w:right="58"/>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360" w:type="dxa"/>
            <w:vAlign w:val="bottom"/>
            <w:tcBorders>
              <w:bottom w:val="single" w:sz="8" w:color="EAEAEA"/>
            </w:tcBorders>
            <w:shd w:val="clear" w:color="auto" w:fill="EAEAEA"/>
          </w:tcPr>
          <w:p>
            <w:pPr>
              <w:spacing w:after="0"/>
              <w:rPr>
                <w:sz w:val="19"/>
                <w:szCs w:val="19"/>
                <w:color w:val="auto"/>
              </w:rPr>
            </w:pPr>
          </w:p>
        </w:tc>
        <w:tc>
          <w:tcPr>
            <w:tcW w:w="7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170,590</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00" w:type="dxa"/>
            <w:vAlign w:val="bottom"/>
            <w:tcBorders>
              <w:bottom w:val="single" w:sz="8" w:color="EAEAEA"/>
            </w:tcBorders>
            <w:shd w:val="clear" w:color="auto" w:fill="EAEAEA"/>
          </w:tcPr>
          <w:p>
            <w:pPr>
              <w:spacing w:after="0"/>
              <w:rPr>
                <w:sz w:val="19"/>
                <w:szCs w:val="19"/>
                <w:color w:val="auto"/>
              </w:rPr>
            </w:pPr>
          </w:p>
        </w:tc>
        <w:tc>
          <w:tcPr>
            <w:tcW w:w="700" w:type="dxa"/>
            <w:vAlign w:val="bottom"/>
            <w:tcBorders>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438,748</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72"/>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Other intangibles include assets for favorable contracts and customer relationships, distributorship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dealership agreements, trade names and non-compete agreements. The following table summarizes the balances of other intangible assets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gridSpan w:val="7"/>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EAEAEA"/>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EAEAEA"/>
            </w:tcBorders>
          </w:tcPr>
          <w:p>
            <w:pPr>
              <w:spacing w:after="0"/>
              <w:rPr>
                <w:sz w:val="17"/>
                <w:szCs w:val="17"/>
                <w:color w:val="auto"/>
              </w:rPr>
            </w:pPr>
          </w:p>
        </w:tc>
        <w:tc>
          <w:tcPr>
            <w:tcW w:w="40" w:type="dxa"/>
            <w:vAlign w:val="bottom"/>
            <w:tcBorders>
              <w:top w:val="single" w:sz="8" w:color="auto"/>
              <w:bottom w:val="single" w:sz="8" w:color="EAEAEA"/>
            </w:tcBorders>
          </w:tcPr>
          <w:p>
            <w:pPr>
              <w:spacing w:after="0"/>
              <w:rPr>
                <w:sz w:val="17"/>
                <w:szCs w:val="17"/>
                <w:color w:val="auto"/>
              </w:rPr>
            </w:pPr>
          </w:p>
        </w:tc>
        <w:tc>
          <w:tcPr>
            <w:tcW w:w="60" w:type="dxa"/>
            <w:vAlign w:val="bottom"/>
            <w:tcBorders>
              <w:top w:val="single" w:sz="8" w:color="auto"/>
              <w:bottom w:val="single" w:sz="8" w:color="EAEAEA"/>
            </w:tcBorders>
          </w:tcPr>
          <w:p>
            <w:pPr>
              <w:spacing w:after="0"/>
              <w:rPr>
                <w:sz w:val="17"/>
                <w:szCs w:val="17"/>
                <w:color w:val="auto"/>
              </w:rPr>
            </w:pPr>
          </w:p>
        </w:tc>
        <w:tc>
          <w:tcPr>
            <w:tcW w:w="140" w:type="dxa"/>
            <w:vAlign w:val="bottom"/>
            <w:tcBorders>
              <w:bottom w:val="single" w:sz="8" w:color="EAEAEA"/>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EAEAEA"/>
            </w:tcBorders>
          </w:tcPr>
          <w:p>
            <w:pPr>
              <w:spacing w:after="0"/>
              <w:rPr>
                <w:sz w:val="17"/>
                <w:szCs w:val="17"/>
                <w:color w:val="auto"/>
              </w:rPr>
            </w:pPr>
          </w:p>
        </w:tc>
        <w:tc>
          <w:tcPr>
            <w:tcW w:w="20" w:type="dxa"/>
            <w:vAlign w:val="bottom"/>
            <w:tcBorders>
              <w:bottom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tcBorders>
              <w:bottom w:val="single" w:sz="8" w:color="EAEAEA"/>
            </w:tcBorders>
            <w:shd w:val="clear" w:color="auto" w:fill="EAEAEA"/>
          </w:tcPr>
          <w:p>
            <w:pPr>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Other intangible assets – gross</w:t>
            </w: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300" w:type="dxa"/>
            <w:vAlign w:val="bottom"/>
            <w:tcBorders>
              <w:bottom w:val="single" w:sz="8" w:color="EAEAEA"/>
            </w:tcBorders>
            <w:shd w:val="clear" w:color="auto" w:fill="EAEAEA"/>
          </w:tcPr>
          <w:p>
            <w:pPr>
              <w:spacing w:after="0"/>
              <w:rPr>
                <w:sz w:val="19"/>
                <w:szCs w:val="19"/>
                <w:color w:val="auto"/>
              </w:rPr>
            </w:pPr>
          </w:p>
        </w:tc>
        <w:tc>
          <w:tcPr>
            <w:tcW w:w="720" w:type="dxa"/>
            <w:vAlign w:val="bottom"/>
            <w:tcBorders>
              <w:bottom w:val="single" w:sz="8" w:color="EAEAEA"/>
            </w:tcBorders>
            <w:gridSpan w:val="3"/>
            <w:shd w:val="clear" w:color="auto" w:fill="EAEAEA"/>
          </w:tcPr>
          <w:p>
            <w:pPr>
              <w:jc w:val="right"/>
              <w:ind w:right="20"/>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187,106</w:t>
            </w: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jc w:val="right"/>
              <w:ind w:right="140"/>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60" w:type="dxa"/>
            <w:vAlign w:val="bottom"/>
            <w:tcBorders>
              <w:bottom w:val="single" w:sz="8" w:color="EAEAEA"/>
            </w:tcBorders>
            <w:shd w:val="clear" w:color="auto" w:fill="EAEAEA"/>
          </w:tcPr>
          <w:p>
            <w:pPr>
              <w:spacing w:after="0"/>
              <w:rPr>
                <w:sz w:val="19"/>
                <w:szCs w:val="19"/>
                <w:color w:val="auto"/>
              </w:rPr>
            </w:pPr>
          </w:p>
        </w:tc>
        <w:tc>
          <w:tcPr>
            <w:tcW w:w="700" w:type="dxa"/>
            <w:vAlign w:val="bottom"/>
            <w:tcBorders>
              <w:bottom w:val="single" w:sz="8" w:color="EAEAEA"/>
            </w:tcBorders>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182,708</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7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Accumulated amortization</w:t>
            </w:r>
          </w:p>
        </w:tc>
        <w:tc>
          <w:tcPr>
            <w:tcW w:w="28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680" w:type="dxa"/>
            <w:vAlign w:val="bottom"/>
            <w:gridSpan w:val="2"/>
          </w:tcPr>
          <w:p>
            <w:pPr>
              <w:spacing w:after="0"/>
              <w:rPr>
                <w:sz w:val="5"/>
                <w:szCs w:val="5"/>
                <w:color w:val="auto"/>
              </w:rPr>
            </w:pPr>
          </w:p>
        </w:tc>
        <w:tc>
          <w:tcPr>
            <w:tcW w:w="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7840" w:type="dxa"/>
            <w:vAlign w:val="bottom"/>
            <w:tcBorders>
              <w:bottom w:val="single" w:sz="8" w:color="EAEAEA"/>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(156,941</w:t>
            </w:r>
          </w:p>
        </w:tc>
        <w:tc>
          <w:tcPr>
            <w:tcW w:w="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60" w:type="dxa"/>
            <w:vAlign w:val="bottom"/>
            <w:tcBorders>
              <w:bottom w:val="single" w:sz="8" w:color="EAEAEA"/>
            </w:tcBorders>
            <w:vMerge w:val="continue"/>
          </w:tcPr>
          <w:p>
            <w:pPr>
              <w:spacing w:after="0"/>
              <w:rPr>
                <w:sz w:val="15"/>
                <w:szCs w:val="15"/>
                <w:color w:val="auto"/>
              </w:rPr>
            </w:pPr>
          </w:p>
        </w:tc>
        <w:tc>
          <w:tcPr>
            <w:tcW w:w="140" w:type="dxa"/>
            <w:vAlign w:val="bottom"/>
            <w:tcBorders>
              <w:bottom w:val="single" w:sz="8" w:color="EAEAEA"/>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4"/>
              </w:rPr>
              <w:t>(148,302</w:t>
            </w: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AEAEA"/>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EAEAE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40" w:type="dxa"/>
            <w:vAlign w:val="bottom"/>
            <w:tcBorders>
              <w:bottom w:val="single" w:sz="8" w:color="EAEAEA"/>
            </w:tcBorders>
            <w:shd w:val="clear" w:color="auto" w:fill="EAEAEA"/>
          </w:tcPr>
          <w:p>
            <w:pPr>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Other intangible assets – net</w:t>
            </w: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300" w:type="dxa"/>
            <w:vAlign w:val="bottom"/>
            <w:tcBorders>
              <w:bottom w:val="single" w:sz="8" w:color="EAEAEA"/>
            </w:tcBorders>
            <w:shd w:val="clear" w:color="auto" w:fill="EAEAEA"/>
          </w:tcPr>
          <w:p>
            <w:pPr>
              <w:spacing w:after="0"/>
              <w:rPr>
                <w:sz w:val="20"/>
                <w:szCs w:val="20"/>
                <w:color w:val="auto"/>
              </w:rPr>
            </w:pPr>
          </w:p>
        </w:tc>
        <w:tc>
          <w:tcPr>
            <w:tcW w:w="720" w:type="dxa"/>
            <w:vAlign w:val="bottom"/>
            <w:tcBorders>
              <w:bottom w:val="single" w:sz="8" w:color="EAEAEA"/>
            </w:tcBorders>
            <w:gridSpan w:val="3"/>
            <w:shd w:val="clear" w:color="auto" w:fill="EAEAEA"/>
          </w:tcPr>
          <w:p>
            <w:pPr>
              <w:jc w:val="right"/>
              <w:ind w:right="20"/>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30,165</w:t>
            </w: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jc w:val="right"/>
              <w:ind w:right="140"/>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60" w:type="dxa"/>
            <w:vAlign w:val="bottom"/>
            <w:tcBorders>
              <w:bottom w:val="single" w:sz="8" w:color="EAEAEA"/>
            </w:tcBorders>
            <w:shd w:val="clear" w:color="auto" w:fill="EAEAEA"/>
          </w:tcPr>
          <w:p>
            <w:pPr>
              <w:spacing w:after="0"/>
              <w:rPr>
                <w:sz w:val="20"/>
                <w:szCs w:val="20"/>
                <w:color w:val="auto"/>
              </w:rPr>
            </w:pPr>
          </w:p>
        </w:tc>
        <w:tc>
          <w:tcPr>
            <w:tcW w:w="700" w:type="dxa"/>
            <w:vAlign w:val="bottom"/>
            <w:tcBorders>
              <w:bottom w:val="single" w:sz="8" w:color="EAEAEA"/>
            </w:tcBorders>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34,406</w:t>
            </w:r>
          </w:p>
        </w:tc>
        <w:tc>
          <w:tcPr>
            <w:tcW w:w="2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-659765</wp:posOffset>
            </wp:positionV>
            <wp:extent cx="1851660"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9">
                      <a:extLst>
                        <a:ext uri="{28A0092B-C50C-407E-A947-70E740481C1C}"/>
                      </a:extLst>
                    </a:blip>
                    <a:srcRect/>
                    <a:stretch>
                      <a:fillRect/>
                    </a:stretch>
                  </pic:blipFill>
                  <pic:spPr bwMode="auto">
                    <a:xfrm>
                      <a:off x="0" y="0"/>
                      <a:ext cx="1851660" cy="3492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-514985</wp:posOffset>
            </wp:positionV>
            <wp:extent cx="8572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0">
                      <a:extLst>
                        <a:ext uri="{28A0092B-C50C-407E-A947-70E740481C1C}"/>
                      </a:extLst>
                    </a:blip>
                    <a:srcRect/>
                    <a:stretch>
                      <a:fillRect/>
                    </a:stretch>
                  </pic:blipFill>
                  <pic:spPr bwMode="auto">
                    <a:xfrm>
                      <a:off x="0" y="0"/>
                      <a:ext cx="857250" cy="2540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-195580</wp:posOffset>
            </wp:positionV>
            <wp:extent cx="8572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1">
                      <a:extLst>
                        <a:ext uri="{28A0092B-C50C-407E-A947-70E740481C1C}"/>
                      </a:extLst>
                    </a:blip>
                    <a:srcRect/>
                    <a:stretch>
                      <a:fillRect/>
                    </a:stretch>
                  </pic:blipFill>
                  <pic:spPr bwMode="auto">
                    <a:xfrm>
                      <a:off x="0" y="0"/>
                      <a:ext cx="857250" cy="25400"/>
                    </a:xfrm>
                    <a:prstGeom prst="rect">
                      <a:avLst/>
                    </a:prstGeom>
                    <a:noFill/>
                  </pic:spPr>
                </pic:pic>
              </a:graphicData>
            </a:graphic>
          </wp:anchor>
        </w:drawing>
      </w:r>
    </w:p>
    <w:p>
      <w:pPr>
        <w:spacing w:after="0" w:line="16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costs of intangible assets and liabilities are amortized to expense in a systematic and rational manner over their estimated useful lives. For the years ended December 31, 2025, 2024, and 2023, the amortization expense for intangibles was $8.7 million, $8.6</w:t>
      </w:r>
    </w:p>
    <w:p>
      <w:pPr>
        <w:sectPr>
          <w:pgSz w:w="12240" w:h="15840" w:orient="portrait"/>
          <w:cols w:equalWidth="0" w:num="1">
            <w:col w:w="10800"/>
          </w:cols>
          <w:pgMar w:left="720" w:top="929" w:right="720" w:bottom="176"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29" w:right="720" w:bottom="176" w:gutter="0" w:footer="0" w:header="0"/>
          <w:type w:val="continuous"/>
        </w:sectPr>
      </w:pPr>
    </w:p>
    <w:bookmarkStart w:id="71" w:name="page72"/>
    <w:bookmarkEnd w:id="71"/>
    <w:p>
      <w:pPr>
        <w:jc w:val="both"/>
        <w:ind w:firstLine="2"/>
        <w:spacing w:after="0" w:line="259" w:lineRule="auto"/>
        <w:rPr>
          <w:sz w:val="20"/>
          <w:szCs w:val="20"/>
          <w:color w:val="auto"/>
        </w:rPr>
      </w:pPr>
      <w:r>
        <w:rPr>
          <w:rFonts w:ascii="Times New Roman" w:cs="Times New Roman" w:eastAsia="Times New Roman" w:hAnsi="Times New Roman"/>
          <w:sz w:val="20"/>
          <w:szCs w:val="20"/>
          <w:color w:val="auto"/>
        </w:rPr>
        <w:t>million, and $ 8.1 million, respectively. Estimated net amortization expense for amortizable intangible assets for the next five years (2026 – 2030) is approximately $6.5 million, $5.2 million, $3.8 million, $3.7 million, and $2.6 million, respectively, and $8.4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thereafter. As of December 31, 2025, the weighted average amortization period for intangible assets was approximately eight years</w:t>
      </w:r>
    </w:p>
    <w:p>
      <w:pPr>
        <w:spacing w:after="0" w:line="20" w:lineRule="exact"/>
        <w:rPr>
          <w:sz w:val="20"/>
          <w:szCs w:val="20"/>
          <w:color w:val="auto"/>
        </w:rPr>
      </w:pPr>
    </w:p>
    <w:p>
      <w:pPr>
        <w:spacing w:after="0" w:line="14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The majority of marine transportation revenue is derived from term contracts, ranging from one to five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years, some of which have renewal options, and the remainder is from spot contracts. The majority of the term contracts, by revenue are for terms of one year. The Company provides marine transportation services for its customers and, in almost all cases, does not assume ownership of the products it transports. The Company enters into agreements with its customers to transport cargo from a designated origin to a designated destination at a set rate (affreightment) or at a daily rate (time charter). The rate may or may not escalate during the term of the contract, however, the base rate generally remains constant and contracts often include escalation provisions to recover changes in specific costs such as fuel. Time charter or contracts of affreightment of one year or greater are considered term contract revenues and agreements of less than a year are included in spot contract revenues. Spot contracts typically involve an agreement with a customer to move cargo from a specific origin to a designated destination for a rate generally negotiated</w:t>
      </w:r>
    </w:p>
    <w:p>
      <w:pPr>
        <w:spacing w:after="0" w:line="3"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at the time the cargo movement takes place. Spot contract rates are typically at the current “market” rate, including fuel, and ar subject to market volatility.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w:t>
      </w:r>
    </w:p>
    <w:p>
      <w:pPr>
        <w:spacing w:after="0" w:line="20" w:lineRule="exact"/>
        <w:rPr>
          <w:sz w:val="20"/>
          <w:szCs w:val="20"/>
          <w:color w:val="auto"/>
        </w:rPr>
      </w:pPr>
    </w:p>
    <w:p>
      <w:pPr>
        <w:spacing w:after="0" w:line="14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Distribution products and services are generally sold based upon purchase orders or preferential service 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 utilizing hours worked or costs incurred as a percentage of estimated hours or expected costs. Revenue from rental agreements i generally recognized on a straight-line basis over the rental period. The Company recognizes the revenues on manufacturing activities upon shipment and transfer of control to the customer. The transactions in the distribution and services segment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166"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The Company has share-based compensation plans covering selected officers and other key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employees as well as the Company’s Board of Directors. Stock-based grants made under the Company’s stock plans are measured at fair value on the date of the grant and the cost for all grants made under the director plan and for grants made under the employee plan is generally recognized ratably over the vesting period of the restricted stock unit (“RSU”), stock option, or restricted stock. The employee plan, however,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Stock opti n grants are valued at the date of grant as calculated under the Black-Scholes option pricing model. The Company accounts for forfeitures as they occur. The Company’s stock-based compensation plans are more fully described in Note 8, Stock Award Plans.</w:t>
      </w:r>
    </w:p>
    <w:p>
      <w:pPr>
        <w:spacing w:after="0" w:line="166"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Taxes on Income </w:t>
      </w:r>
      <w:r>
        <w:rPr>
          <w:rFonts w:ascii="Times New Roman" w:cs="Times New Roman" w:eastAsia="Times New Roman" w:hAnsi="Times New Roman"/>
          <w:sz w:val="20"/>
          <w:szCs w:val="20"/>
          <w:color w:val="auto"/>
        </w:rPr>
        <w:t>The Company follows the asset and liability method of accounting for income taxes. Under the asset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 xml:space="preserve">Treasury Stock. </w:t>
      </w:r>
      <w:r>
        <w:rPr>
          <w:rFonts w:ascii="Times New Roman" w:cs="Times New Roman" w:eastAsia="Times New Roman" w:hAnsi="Times New Roman"/>
          <w:sz w:val="20"/>
          <w:szCs w:val="20"/>
          <w:color w:val="auto"/>
        </w:rPr>
        <w:t>The Company follows the average cost method of accounting for treasury stock transactions.</w:t>
      </w:r>
    </w:p>
    <w:p>
      <w:pPr>
        <w:spacing w:after="0" w:line="20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Impairment of Long-lived Assets and for Long-lived Assets to Be Disposed Of. </w:t>
      </w:r>
      <w:r>
        <w:rPr>
          <w:rFonts w:ascii="Times New Roman" w:cs="Times New Roman" w:eastAsia="Times New Roman" w:hAnsi="Times New Roman"/>
          <w:sz w:val="20"/>
          <w:szCs w:val="20"/>
          <w:color w:val="auto"/>
        </w:rPr>
        <w:t>The Company performs an impairment assessment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whenever events or changes in circumstances indicate that the carrying amount of long-lived assets may not be recoverable.</w:t>
      </w:r>
    </w:p>
    <w:p>
      <w:pPr>
        <w:spacing w:after="0" w:line="128" w:lineRule="exact"/>
        <w:rPr>
          <w:sz w:val="20"/>
          <w:szCs w:val="20"/>
          <w:color w:val="auto"/>
        </w:rPr>
      </w:pPr>
    </w:p>
    <w:p>
      <w:pPr>
        <w:jc w:val="both"/>
        <w:ind w:firstLine="363"/>
        <w:spacing w:after="0" w:line="244" w:lineRule="auto"/>
        <w:rPr>
          <w:sz w:val="20"/>
          <w:szCs w:val="20"/>
          <w:color w:val="auto"/>
        </w:rPr>
      </w:pPr>
      <w:r>
        <w:rPr>
          <w:rFonts w:ascii="Times New Roman" w:cs="Times New Roman" w:eastAsia="Times New Roman" w:hAnsi="Times New Roman"/>
          <w:sz w:val="20"/>
          <w:szCs w:val="20"/>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generally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w:t>
      </w:r>
    </w:p>
    <w:p>
      <w:pPr>
        <w:spacing w:after="0" w:line="20" w:lineRule="exact"/>
        <w:rPr>
          <w:sz w:val="20"/>
          <w:szCs w:val="20"/>
          <w:color w:val="auto"/>
        </w:rPr>
      </w:pP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929" w:right="720" w:bottom="176" w:gutter="0" w:footer="0" w:header="0"/>
          <w:type w:val="continuous"/>
        </w:sectPr>
      </w:pPr>
    </w:p>
    <w:bookmarkStart w:id="72" w:name="page73"/>
    <w:bookmarkEnd w:id="72"/>
    <w:p>
      <w:pPr>
        <w:jc w:val="both"/>
        <w:ind w:firstLine="6"/>
        <w:spacing w:after="0" w:line="278" w:lineRule="auto"/>
        <w:rPr>
          <w:sz w:val="20"/>
          <w:szCs w:val="20"/>
          <w:color w:val="auto"/>
        </w:rPr>
      </w:pPr>
      <w:r>
        <w:rPr>
          <w:rFonts w:ascii="Times New Roman" w:cs="Times New Roman" w:eastAsia="Times New Roman" w:hAnsi="Times New Roman"/>
          <w:sz w:val="20"/>
          <w:szCs w:val="20"/>
          <w:color w:val="auto"/>
        </w:rPr>
        <w:t>classes are based on similar capacities, hull type, and type of product and towing vessels are based on similar hull type and horsepower.</w:t>
      </w:r>
    </w:p>
    <w:p>
      <w:pPr>
        <w:spacing w:after="0" w:line="127" w:lineRule="exact"/>
        <w:rPr>
          <w:sz w:val="20"/>
          <w:szCs w:val="20"/>
          <w:color w:val="auto"/>
        </w:rPr>
      </w:pPr>
    </w:p>
    <w:p>
      <w:pPr>
        <w:jc w:val="both"/>
        <w:ind w:firstLine="365"/>
        <w:spacing w:after="0" w:line="249" w:lineRule="auto"/>
        <w:rPr>
          <w:sz w:val="20"/>
          <w:szCs w:val="20"/>
          <w:color w:val="auto"/>
        </w:rPr>
      </w:pPr>
      <w:r>
        <w:rPr>
          <w:rFonts w:ascii="Times New Roman" w:cs="Times New Roman" w:eastAsia="Times New Roman" w:hAnsi="Times New Roman"/>
          <w:sz w:val="20"/>
          <w:szCs w:val="20"/>
          <w:color w:val="auto"/>
        </w:rPr>
        <w:t>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w:t>
      </w:r>
    </w:p>
    <w:p>
      <w:pPr>
        <w:spacing w:after="0" w:line="15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w:t>
      </w:r>
      <w:r>
        <w:rPr>
          <w:rFonts w:ascii="Times New Roman" w:cs="Times New Roman" w:eastAsia="Times New Roman" w:hAnsi="Times New Roman"/>
          <w:sz w:val="20"/>
          <w:szCs w:val="20"/>
          <w:color w:val="auto"/>
        </w:rPr>
        <w:t>The accounting guidance for using fair value to measure certain assets and liabilities establishes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three tier value hierarchy, 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w:t>
      </w:r>
    </w:p>
    <w:p>
      <w:pPr>
        <w:spacing w:after="0" w:line="4" w:lineRule="exact"/>
        <w:rPr>
          <w:sz w:val="20"/>
          <w:szCs w:val="20"/>
          <w:color w:val="auto"/>
        </w:rPr>
      </w:pPr>
    </w:p>
    <w:p>
      <w:pPr>
        <w:jc w:val="both"/>
        <w:ind w:firstLine="2"/>
        <w:spacing w:after="0" w:line="248" w:lineRule="auto"/>
        <w:rPr>
          <w:sz w:val="20"/>
          <w:szCs w:val="20"/>
          <w:color w:val="auto"/>
        </w:rPr>
      </w:pPr>
      <w:r>
        <w:rPr>
          <w:rFonts w:ascii="Times New Roman" w:cs="Times New Roman" w:eastAsia="Times New Roman" w:hAnsi="Times New Roman"/>
          <w:sz w:val="20"/>
          <w:szCs w:val="20"/>
          <w:color w:val="auto"/>
        </w:rPr>
        <w:t>market participants would use in pricing the asset or liability. The fair value of the Company’s debt instruments is described in Note 5, Long-Term Debt.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December 2023, the Financial Accounting Standards Board (“FASB”) issued Accounting Standards Update (“ASU”) No.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2023-09, “Income Taxes (Topic 740): Improvements to Income Tax Disclosures” (“ASU 2023-09”), which requires entities to</w:t>
      </w:r>
    </w:p>
    <w:p>
      <w:pPr>
        <w:spacing w:after="0" w:line="8"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disclose additional information in specified categories with respect to the reconciliation of the effective tax rate to the statutory rate for federal, state, and foreign income taxes. ASU 2023-09 is effective for annual periods beginning after December 15, 2024, with e arly adoption permitted. The Company adopted ASU 2023-09 on January 1, 2025 and the adoption did not have an impact on the Company’s consolidated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6154420</wp:posOffset>
            </wp:positionH>
            <wp:positionV relativeFrom="paragraph">
              <wp:posOffset>-534670</wp:posOffset>
            </wp:positionV>
            <wp:extent cx="4763"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2">
                      <a:extLst>
                        <a:ext uri="{28A0092B-C50C-407E-A947-70E740481C1C}"/>
                      </a:extLst>
                    </a:blip>
                    <a:srcRect/>
                    <a:stretch>
                      <a:fillRect/>
                    </a:stretch>
                  </pic:blipFill>
                  <pic:spPr bwMode="auto">
                    <a:xfrm>
                      <a:off x="0" y="0"/>
                      <a:ext cx="4763" cy="6350"/>
                    </a:xfrm>
                    <a:prstGeom prst="rect">
                      <a:avLst/>
                    </a:prstGeom>
                    <a:noFill/>
                  </pic:spPr>
                </pic:pic>
              </a:graphicData>
            </a:graphic>
          </wp:anchor>
        </w:drawing>
      </w:r>
    </w:p>
    <w:p>
      <w:pPr>
        <w:spacing w:after="0" w:line="166" w:lineRule="exact"/>
        <w:rPr>
          <w:sz w:val="20"/>
          <w:szCs w:val="20"/>
          <w:color w:val="auto"/>
        </w:rPr>
      </w:pPr>
    </w:p>
    <w:p>
      <w:pPr>
        <w:jc w:val="both"/>
        <w:ind w:firstLine="365"/>
        <w:spacing w:after="0" w:line="253" w:lineRule="auto"/>
        <w:rPr>
          <w:sz w:val="20"/>
          <w:szCs w:val="20"/>
          <w:color w:val="auto"/>
        </w:rPr>
      </w:pPr>
      <w:r>
        <w:rPr>
          <w:rFonts w:ascii="Times New Roman" w:cs="Times New Roman" w:eastAsia="Times New Roman" w:hAnsi="Times New Roman"/>
          <w:sz w:val="20"/>
          <w:szCs w:val="20"/>
          <w:color w:val="auto"/>
        </w:rPr>
        <w:t>In November 2024, the FASB issued ASU No. 2024-03, “Income Statement Reporting Comprehensive Income Expense Disaggregation Disclosures (Subtopic 220-40): Disaggregation of Income Statement Expenses” (“ASU 2024-03”), which requires incremental disclosures about specific expense categories, including but not limited to, purchases of inventory, employee compensation, depreciation, amortization and selling expenses. The amendments are effective for annual periods beginning after</w:t>
      </w:r>
    </w:p>
    <w:p>
      <w:pPr>
        <w:spacing w:after="0" w:line="3" w:lineRule="exact"/>
        <w:rPr>
          <w:sz w:val="20"/>
          <w:szCs w:val="20"/>
          <w:color w:val="auto"/>
        </w:rPr>
      </w:pPr>
    </w:p>
    <w:p>
      <w:pPr>
        <w:jc w:val="both"/>
        <w:ind w:firstLine="3"/>
        <w:spacing w:after="0"/>
        <w:rPr>
          <w:sz w:val="20"/>
          <w:szCs w:val="20"/>
          <w:color w:val="auto"/>
        </w:rPr>
      </w:pPr>
      <w:r>
        <w:rPr>
          <w:rFonts w:ascii="Times New Roman" w:cs="Times New Roman" w:eastAsia="Times New Roman" w:hAnsi="Times New Roman"/>
          <w:sz w:val="20"/>
          <w:szCs w:val="20"/>
          <w:color w:val="auto"/>
        </w:rPr>
        <w:t>December 15, 2026, and for interim periods beginning after December 15, 2027. Early adoption is permitted and the amendments ma be applied either prospectively or retrospectively. The Company is currently evaluating the impact that the adoption of this standard will have on its consolidated financial statements.</w:t>
      </w:r>
    </w:p>
    <w:p>
      <w:pPr>
        <w:spacing w:after="0" w:line="20" w:lineRule="exact"/>
        <w:rPr>
          <w:sz w:val="20"/>
          <w:szCs w:val="20"/>
          <w:color w:val="auto"/>
        </w:r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Acquisitions</w:t>
      </w:r>
    </w:p>
    <w:p>
      <w:pPr>
        <w:spacing w:after="0" w:line="204" w:lineRule="exact"/>
        <w:rPr>
          <w:sz w:val="20"/>
          <w:szCs w:val="20"/>
          <w:color w:val="auto"/>
        </w:rPr>
      </w:pPr>
    </w:p>
    <w:p>
      <w:pPr>
        <w:jc w:val="both"/>
        <w:ind w:firstLine="358"/>
        <w:spacing w:after="0" w:line="258" w:lineRule="auto"/>
        <w:rPr>
          <w:sz w:val="20"/>
          <w:szCs w:val="20"/>
          <w:color w:val="auto"/>
        </w:rPr>
      </w:pPr>
      <w:r>
        <w:rPr>
          <w:rFonts w:ascii="Times New Roman" w:cs="Times New Roman" w:eastAsia="Times New Roman" w:hAnsi="Times New Roman"/>
          <w:sz w:val="20"/>
          <w:szCs w:val="20"/>
          <w:color w:val="auto"/>
        </w:rPr>
        <w:t>On October 14, 2025, the Company purchased certain assets from an undisclosed seller in support of the KDS segment for $9.3 million in cash. The assets consisted of inventory and an authorized distributorship for EMD Power Products (“EMD”) for certain geographic regions including Mexico, Central America, the northern part of South America and the Caribbean islands.</w:t>
      </w:r>
    </w:p>
    <w:p>
      <w:pPr>
        <w:spacing w:after="0" w:line="147"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20"/>
          <w:szCs w:val="20"/>
          <w:color w:val="auto"/>
        </w:rPr>
        <w:t>On August 7, 2025, the Company purchased two inland tank barges and one towboat from an undisclosed seller for $9.2 million in cash.</w:t>
      </w:r>
    </w:p>
    <w:p>
      <w:pPr>
        <w:spacing w:after="0" w:line="126" w:lineRule="exact"/>
        <w:rPr>
          <w:sz w:val="20"/>
          <w:szCs w:val="20"/>
          <w:color w:val="auto"/>
        </w:rPr>
      </w:pPr>
    </w:p>
    <w:p>
      <w:pPr>
        <w:jc w:val="both"/>
        <w:ind w:firstLine="357"/>
        <w:spacing w:after="0" w:line="252" w:lineRule="auto"/>
        <w:rPr>
          <w:sz w:val="20"/>
          <w:szCs w:val="20"/>
          <w:color w:val="auto"/>
        </w:rPr>
      </w:pPr>
      <w:r>
        <w:rPr>
          <w:rFonts w:ascii="Times New Roman" w:cs="Times New Roman" w:eastAsia="Times New Roman" w:hAnsi="Times New Roman"/>
          <w:sz w:val="20"/>
          <w:szCs w:val="20"/>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53" w:lineRule="exact"/>
        <w:rPr>
          <w:sz w:val="20"/>
          <w:szCs w:val="20"/>
          <w:color w:val="auto"/>
        </w:rPr>
      </w:pPr>
    </w:p>
    <w:p>
      <w:pPr>
        <w:jc w:val="both"/>
        <w:ind w:firstLine="353"/>
        <w:spacing w:after="0" w:line="279" w:lineRule="auto"/>
        <w:rPr>
          <w:sz w:val="20"/>
          <w:szCs w:val="20"/>
          <w:color w:val="auto"/>
        </w:rPr>
      </w:pPr>
      <w:r>
        <w:rPr>
          <w:rFonts w:ascii="Times New Roman" w:cs="Times New Roman" w:eastAsia="Times New Roman" w:hAnsi="Times New Roman"/>
          <w:sz w:val="20"/>
          <w:szCs w:val="20"/>
          <w:color w:val="auto"/>
        </w:rPr>
        <w:t>On December 31, 2024, the Company purchased an inland tank barge from a leasing company for $2.7 million in cash. The Company had been leasing the barge prior to purchase.</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December 30, 2024, the Company purchased three inland tank barges from an undisclosed seller for $9.9 million in cash.</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May 15, 2024, the Company completed the purchase of 13 inland tank barges, with a total capacity of 347,000 barrels, and</w:t>
      </w:r>
    </w:p>
    <w:p>
      <w:pPr>
        <w:spacing w:after="0" w:line="36" w:lineRule="exact"/>
        <w:rPr>
          <w:sz w:val="20"/>
          <w:szCs w:val="20"/>
          <w:color w:val="auto"/>
        </w:rPr>
      </w:pPr>
    </w:p>
    <w:p>
      <w:pPr>
        <w:jc w:val="both"/>
        <w:ind w:right="100" w:firstLine="2"/>
        <w:spacing w:after="0"/>
        <w:rPr>
          <w:sz w:val="20"/>
          <w:szCs w:val="20"/>
          <w:color w:val="auto"/>
        </w:rPr>
      </w:pPr>
      <w:r>
        <w:rPr>
          <w:rFonts w:ascii="Times New Roman" w:cs="Times New Roman" w:eastAsia="Times New Roman" w:hAnsi="Times New Roman"/>
          <w:sz w:val="20"/>
          <w:szCs w:val="20"/>
          <w:color w:val="auto"/>
        </w:rPr>
        <w:t>two high horsepower towboats from an undisclosed seller for $65.2 million in cash. The 13 tank barges, including three specialt barges, transport petrochemicals and refined products on the Mississippi River System and Gulf Intracoastal Waterway. The avera age of the 13 barges was 15 years.</w:t>
      </w:r>
    </w:p>
    <w:p>
      <w:pPr>
        <w:spacing w:after="0" w:line="20" w:lineRule="exact"/>
        <w:rPr>
          <w:sz w:val="20"/>
          <w:szCs w:val="20"/>
          <w:color w:val="auto"/>
        </w:rPr>
      </w:pPr>
    </w:p>
    <w:p>
      <w:pPr>
        <w:spacing w:after="0" w:line="144" w:lineRule="exact"/>
        <w:rPr>
          <w:sz w:val="20"/>
          <w:szCs w:val="20"/>
          <w:color w:val="auto"/>
        </w:rPr>
      </w:pPr>
    </w:p>
    <w:p>
      <w:pPr>
        <w:jc w:val="both"/>
        <w:ind w:firstLine="358"/>
        <w:spacing w:after="0" w:line="258" w:lineRule="auto"/>
        <w:rPr>
          <w:sz w:val="20"/>
          <w:szCs w:val="20"/>
          <w:color w:val="auto"/>
        </w:rPr>
      </w:pPr>
      <w:r>
        <w:rPr>
          <w:rFonts w:ascii="Times New Roman" w:cs="Times New Roman" w:eastAsia="Times New Roman" w:hAnsi="Times New Roman"/>
          <w:sz w:val="20"/>
          <w:szCs w:val="20"/>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ectPr>
          <w:pgSz w:w="12240" w:h="15840" w:orient="portrait"/>
          <w:cols w:equalWidth="0" w:num="1">
            <w:col w:w="10800"/>
          </w:cols>
          <w:pgMar w:left="720" w:top="929" w:right="720" w:bottom="187"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10800"/>
          </w:cols>
          <w:pgMar w:left="720" w:top="929" w:right="720" w:bottom="187" w:gutter="0" w:footer="0" w:header="0"/>
          <w:type w:val="continuous"/>
        </w:sectPr>
      </w:pPr>
    </w:p>
    <w:bookmarkStart w:id="73" w:name="page74"/>
    <w:bookmarkEnd w:id="73"/>
    <w:p>
      <w:pPr>
        <w:ind w:left="360"/>
        <w:spacing w:after="0"/>
        <w:rPr>
          <w:sz w:val="20"/>
          <w:szCs w:val="20"/>
          <w:color w:val="auto"/>
        </w:rPr>
      </w:pPr>
      <w:r>
        <w:rPr>
          <w:rFonts w:ascii="Times New Roman" w:cs="Times New Roman" w:eastAsia="Times New Roman" w:hAnsi="Times New Roman"/>
          <w:sz w:val="20"/>
          <w:szCs w:val="20"/>
          <w:color w:val="auto"/>
        </w:rPr>
        <w:t>The Company purchased four inland tank barges from a leasing company for $0.5 million in cash during the 2023 third quarter.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been leasing the barges prior to the purchase.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Revenues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the Company’s revenues by major source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760" w:type="dxa"/>
            <w:vAlign w:val="bottom"/>
            <w:tcBorders>
              <w:bottom w:val="single" w:sz="8" w:color="EAEAEA"/>
            </w:tcBorders>
          </w:tcPr>
          <w:p>
            <w:pPr>
              <w:spacing w:after="0"/>
              <w:rPr>
                <w:sz w:val="15"/>
                <w:szCs w:val="15"/>
                <w:color w:val="auto"/>
              </w:rPr>
            </w:pPr>
          </w:p>
        </w:tc>
        <w:tc>
          <w:tcPr>
            <w:tcW w:w="3500" w:type="dxa"/>
            <w:vAlign w:val="bottom"/>
            <w:tcBorders>
              <w:bottom w:val="single" w:sz="8" w:color="EAEAE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03"/>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AEAE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03"/>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AEAEA"/>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03"/>
              <w:spacing w:after="0" w:line="179"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6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Marine transportation segment:</w:t>
            </w:r>
          </w:p>
        </w:tc>
        <w:tc>
          <w:tcPr>
            <w:tcW w:w="35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600" w:type="dxa"/>
            <w:vAlign w:val="bottom"/>
            <w:shd w:val="clear" w:color="auto" w:fill="EAEAEA"/>
          </w:tcPr>
          <w:p>
            <w:pPr>
              <w:spacing w:after="0"/>
              <w:rPr>
                <w:sz w:val="19"/>
                <w:szCs w:val="19"/>
                <w:color w:val="auto"/>
              </w:rPr>
            </w:pPr>
          </w:p>
        </w:tc>
        <w:tc>
          <w:tcPr>
            <w:tcW w:w="6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Inland transportation</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1,548,138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1,553,232</w:t>
            </w:r>
          </w:p>
        </w:tc>
        <w:tc>
          <w:tcPr>
            <w:tcW w:w="2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1,416,483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Coastal transportation</w:t>
            </w:r>
          </w:p>
        </w:tc>
        <w:tc>
          <w:tcPr>
            <w:tcW w:w="3500" w:type="dxa"/>
            <w:vAlign w:val="bottom"/>
            <w:shd w:val="clear" w:color="auto" w:fill="EAEAEA"/>
          </w:tcPr>
          <w:p>
            <w:pPr>
              <w:spacing w:after="0"/>
              <w:rPr>
                <w:sz w:val="20"/>
                <w:szCs w:val="20"/>
                <w:color w:val="auto"/>
              </w:rPr>
            </w:pPr>
          </w:p>
        </w:tc>
        <w:tc>
          <w:tcPr>
            <w:tcW w:w="100" w:type="dxa"/>
            <w:vAlign w:val="bottom"/>
            <w:tcBorders>
              <w:bottom w:val="single" w:sz="8" w:color="auto"/>
            </w:tcBorders>
            <w:shd w:val="clear" w:color="auto" w:fill="EAEAEA"/>
          </w:tcPr>
          <w:p>
            <w:pPr>
              <w:spacing w:after="0"/>
              <w:rPr>
                <w:sz w:val="20"/>
                <w:szCs w:val="20"/>
                <w:color w:val="auto"/>
              </w:rPr>
            </w:pPr>
          </w:p>
        </w:tc>
        <w:tc>
          <w:tcPr>
            <w:tcW w:w="1220" w:type="dxa"/>
            <w:vAlign w:val="bottom"/>
            <w:tcBorders>
              <w:bottom w:val="single" w:sz="8" w:color="auto"/>
            </w:tcBorders>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387,167</w:t>
            </w:r>
          </w:p>
        </w:tc>
        <w:tc>
          <w:tcPr>
            <w:tcW w:w="260" w:type="dxa"/>
            <w:vAlign w:val="bottom"/>
            <w:shd w:val="clear" w:color="auto" w:fill="EAEAEA"/>
          </w:tcPr>
          <w:p>
            <w:pPr>
              <w:spacing w:after="0"/>
              <w:rPr>
                <w:sz w:val="20"/>
                <w:szCs w:val="20"/>
                <w:color w:val="auto"/>
              </w:rPr>
            </w:pPr>
          </w:p>
        </w:tc>
        <w:tc>
          <w:tcPr>
            <w:tcW w:w="100" w:type="dxa"/>
            <w:vAlign w:val="bottom"/>
            <w:tcBorders>
              <w:bottom w:val="single" w:sz="8" w:color="auto"/>
            </w:tcBorders>
            <w:shd w:val="clear" w:color="auto" w:fill="EAEAEA"/>
          </w:tcPr>
          <w:p>
            <w:pPr>
              <w:spacing w:after="0"/>
              <w:rPr>
                <w:sz w:val="20"/>
                <w:szCs w:val="20"/>
                <w:color w:val="auto"/>
              </w:rPr>
            </w:pPr>
          </w:p>
        </w:tc>
        <w:tc>
          <w:tcPr>
            <w:tcW w:w="1220" w:type="dxa"/>
            <w:vAlign w:val="bottom"/>
            <w:tcBorders>
              <w:bottom w:val="single" w:sz="8" w:color="auto"/>
            </w:tcBorders>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359,818</w:t>
            </w:r>
          </w:p>
        </w:tc>
        <w:tc>
          <w:tcPr>
            <w:tcW w:w="260" w:type="dxa"/>
            <w:vAlign w:val="bottom"/>
            <w:shd w:val="clear" w:color="auto" w:fill="EAEAEA"/>
          </w:tcPr>
          <w:p>
            <w:pPr>
              <w:spacing w:after="0"/>
              <w:rPr>
                <w:sz w:val="20"/>
                <w:szCs w:val="20"/>
                <w:color w:val="auto"/>
              </w:rPr>
            </w:pPr>
          </w:p>
        </w:tc>
        <w:tc>
          <w:tcPr>
            <w:tcW w:w="80" w:type="dxa"/>
            <w:vAlign w:val="bottom"/>
            <w:tcBorders>
              <w:bottom w:val="single" w:sz="8" w:color="auto"/>
            </w:tcBorders>
            <w:shd w:val="clear" w:color="auto" w:fill="EAEAEA"/>
          </w:tcPr>
          <w:p>
            <w:pPr>
              <w:spacing w:after="0"/>
              <w:rPr>
                <w:sz w:val="20"/>
                <w:szCs w:val="20"/>
                <w:color w:val="auto"/>
              </w:rPr>
            </w:pPr>
          </w:p>
        </w:tc>
        <w:tc>
          <w:tcPr>
            <w:tcW w:w="600" w:type="dxa"/>
            <w:vAlign w:val="bottom"/>
            <w:tcBorders>
              <w:bottom w:val="single" w:sz="8" w:color="auto"/>
            </w:tcBorders>
            <w:shd w:val="clear" w:color="auto" w:fill="EAEAEA"/>
          </w:tcPr>
          <w:p>
            <w:pPr>
              <w:spacing w:after="0"/>
              <w:rPr>
                <w:sz w:val="20"/>
                <w:szCs w:val="20"/>
                <w:color w:val="auto"/>
              </w:rPr>
            </w:pPr>
          </w:p>
        </w:tc>
        <w:tc>
          <w:tcPr>
            <w:tcW w:w="620" w:type="dxa"/>
            <w:vAlign w:val="bottom"/>
            <w:tcBorders>
              <w:bottom w:val="single" w:sz="8" w:color="auto"/>
            </w:tcBorders>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w w:val="92"/>
                <w:shd w:val="clear" w:color="auto" w:fill="EAEAEA"/>
              </w:rPr>
              <w:t>305,454</w:t>
            </w:r>
          </w:p>
        </w:tc>
        <w:tc>
          <w:tcPr>
            <w:tcW w:w="20" w:type="dxa"/>
            <w:vAlign w:val="bottom"/>
            <w:tcBorders>
              <w:bottom w:val="single" w:sz="8" w:color="auto"/>
            </w:tcBorders>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EAEAEA"/>
            </w:tcBorders>
          </w:tcPr>
          <w:p>
            <w:pPr>
              <w:spacing w:after="0"/>
              <w:rPr>
                <w:sz w:val="23"/>
                <w:szCs w:val="23"/>
                <w:color w:val="auto"/>
              </w:rPr>
            </w:pPr>
          </w:p>
        </w:tc>
        <w:tc>
          <w:tcPr>
            <w:tcW w:w="3500" w:type="dxa"/>
            <w:vAlign w:val="bottom"/>
            <w:tcBorders>
              <w:bottom w:val="single" w:sz="8" w:color="EAEAEA"/>
            </w:tcBorders>
          </w:tcPr>
          <w:p>
            <w:pPr>
              <w:spacing w:after="0"/>
              <w:rPr>
                <w:sz w:val="23"/>
                <w:szCs w:val="23"/>
                <w:color w:val="auto"/>
              </w:rPr>
            </w:pPr>
          </w:p>
        </w:tc>
        <w:tc>
          <w:tcPr>
            <w:tcW w:w="1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1,935,305</w:t>
            </w:r>
          </w:p>
        </w:tc>
        <w:tc>
          <w:tcPr>
            <w:tcW w:w="260" w:type="dxa"/>
            <w:vAlign w:val="bottom"/>
            <w:tcBorders>
              <w:bottom w:val="single" w:sz="8" w:color="EAEAEA"/>
            </w:tcBorders>
          </w:tcPr>
          <w:p>
            <w:pPr>
              <w:spacing w:after="0"/>
              <w:rPr>
                <w:sz w:val="23"/>
                <w:szCs w:val="23"/>
                <w:color w:val="auto"/>
              </w:rPr>
            </w:pPr>
          </w:p>
        </w:tc>
        <w:tc>
          <w:tcPr>
            <w:tcW w:w="1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1,913,050</w:t>
            </w:r>
          </w:p>
        </w:tc>
        <w:tc>
          <w:tcPr>
            <w:tcW w:w="260" w:type="dxa"/>
            <w:vAlign w:val="bottom"/>
            <w:tcBorders>
              <w:bottom w:val="single" w:sz="8" w:color="EAEAEA"/>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1,721,937</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EAEAEA"/>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760" w:type="dxa"/>
            <w:vAlign w:val="bottom"/>
            <w:shd w:val="clear" w:color="auto" w:fill="EAEAEA"/>
          </w:tcPr>
          <w:p>
            <w:pPr>
              <w:spacing w:after="0" w:line="215" w:lineRule="exact"/>
              <w:rPr>
                <w:sz w:val="20"/>
                <w:szCs w:val="20"/>
                <w:color w:val="auto"/>
              </w:rPr>
            </w:pPr>
            <w:r>
              <w:rPr>
                <w:rFonts w:ascii="Times New Roman" w:cs="Times New Roman" w:eastAsia="Times New Roman" w:hAnsi="Times New Roman"/>
                <w:sz w:val="20"/>
                <w:szCs w:val="20"/>
                <w:color w:val="auto"/>
                <w:w w:val="98"/>
                <w:shd w:val="clear" w:color="auto" w:fill="EAEAEA"/>
              </w:rPr>
              <w:t>Distribution and services segment:</w:t>
            </w:r>
          </w:p>
        </w:tc>
        <w:tc>
          <w:tcPr>
            <w:tcW w:w="35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2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2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600" w:type="dxa"/>
            <w:vAlign w:val="bottom"/>
            <w:shd w:val="clear" w:color="auto" w:fill="EAEAEA"/>
          </w:tcPr>
          <w:p>
            <w:pPr>
              <w:spacing w:after="0"/>
              <w:rPr>
                <w:sz w:val="18"/>
                <w:szCs w:val="18"/>
                <w:color w:val="auto"/>
              </w:rPr>
            </w:pPr>
          </w:p>
        </w:tc>
        <w:tc>
          <w:tcPr>
            <w:tcW w:w="6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Commercial and industrial</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651,354</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621,991</w:t>
            </w:r>
          </w:p>
        </w:tc>
        <w:tc>
          <w:tcPr>
            <w:tcW w:w="2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624,581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Power generation</w:t>
            </w:r>
          </w:p>
        </w:tc>
        <w:tc>
          <w:tcPr>
            <w:tcW w:w="35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2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610,217</w:t>
            </w:r>
          </w:p>
        </w:tc>
        <w:tc>
          <w:tcPr>
            <w:tcW w:w="2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2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484,972</w:t>
            </w:r>
          </w:p>
        </w:tc>
        <w:tc>
          <w:tcPr>
            <w:tcW w:w="2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22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403,576</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6260" w:type="dxa"/>
            <w:vAlign w:val="bottom"/>
            <w:gridSpan w:val="2"/>
            <w:vMerge w:val="restart"/>
          </w:tcPr>
          <w:p>
            <w:pPr>
              <w:ind w:left="200"/>
              <w:spacing w:after="0" w:line="220" w:lineRule="exact"/>
              <w:rPr>
                <w:sz w:val="20"/>
                <w:szCs w:val="20"/>
                <w:color w:val="auto"/>
              </w:rPr>
            </w:pPr>
            <w:r>
              <w:rPr>
                <w:rFonts w:ascii="Times New Roman" w:cs="Times New Roman" w:eastAsia="Times New Roman" w:hAnsi="Times New Roman"/>
                <w:sz w:val="20"/>
                <w:szCs w:val="20"/>
                <w:color w:val="auto"/>
              </w:rPr>
              <w:t>Oil and gas</w:t>
            </w:r>
          </w:p>
        </w:tc>
        <w:tc>
          <w:tcPr>
            <w:tcW w:w="100" w:type="dxa"/>
            <w:vAlign w:val="bottom"/>
          </w:tcPr>
          <w:p>
            <w:pPr>
              <w:spacing w:after="0"/>
              <w:rPr>
                <w:sz w:val="4"/>
                <w:szCs w:val="4"/>
                <w:color w:val="auto"/>
              </w:rPr>
            </w:pPr>
          </w:p>
        </w:tc>
        <w:tc>
          <w:tcPr>
            <w:tcW w:w="1220" w:type="dxa"/>
            <w:vAlign w:val="bottom"/>
            <w:vMerge w:val="restart"/>
          </w:tcPr>
          <w:p>
            <w:pPr>
              <w:jc w:val="right"/>
              <w:spacing w:after="0" w:line="220" w:lineRule="exact"/>
              <w:rPr>
                <w:sz w:val="20"/>
                <w:szCs w:val="20"/>
                <w:color w:val="auto"/>
              </w:rPr>
            </w:pPr>
            <w:r>
              <w:rPr>
                <w:rFonts w:ascii="Times New Roman" w:cs="Times New Roman" w:eastAsia="Times New Roman" w:hAnsi="Times New Roman"/>
                <w:sz w:val="20"/>
                <w:szCs w:val="20"/>
                <w:color w:val="auto"/>
              </w:rPr>
              <w:t>167,174</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restart"/>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245,863</w:t>
            </w:r>
          </w:p>
        </w:tc>
        <w:tc>
          <w:tcPr>
            <w:tcW w:w="80" w:type="dxa"/>
            <w:vAlign w:val="bottom"/>
          </w:tcPr>
          <w:p>
            <w:pPr>
              <w:spacing w:after="0"/>
              <w:rPr>
                <w:sz w:val="4"/>
                <w:szCs w:val="4"/>
                <w:color w:val="auto"/>
              </w:rPr>
            </w:pPr>
          </w:p>
        </w:tc>
        <w:tc>
          <w:tcPr>
            <w:tcW w:w="600" w:type="dxa"/>
            <w:vAlign w:val="bottom"/>
            <w:vMerge w:val="restart"/>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341,546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EAEAEA"/>
            </w:tcBorders>
          </w:tcPr>
          <w:p>
            <w:pPr>
              <w:spacing w:after="0" w:line="20" w:lineRule="exact"/>
              <w:rPr>
                <w:sz w:val="1"/>
                <w:szCs w:val="1"/>
                <w:color w:val="auto"/>
              </w:rPr>
            </w:pPr>
          </w:p>
        </w:tc>
        <w:tc>
          <w:tcPr>
            <w:tcW w:w="350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760" w:type="dxa"/>
            <w:vAlign w:val="bottom"/>
            <w:tcBorders>
              <w:bottom w:val="single" w:sz="8" w:color="EAEAEA"/>
            </w:tcBorders>
            <w:shd w:val="clear" w:color="auto" w:fill="EAEAEA"/>
          </w:tcPr>
          <w:p>
            <w:pPr>
              <w:spacing w:after="0"/>
              <w:rPr>
                <w:sz w:val="18"/>
                <w:szCs w:val="18"/>
                <w:color w:val="auto"/>
              </w:rPr>
            </w:pPr>
          </w:p>
        </w:tc>
        <w:tc>
          <w:tcPr>
            <w:tcW w:w="350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rPr>
              <w:t>1,428,745</w:t>
            </w:r>
          </w:p>
        </w:tc>
        <w:tc>
          <w:tcPr>
            <w:tcW w:w="26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rPr>
              <w:t>1,352,826</w:t>
            </w:r>
          </w:p>
        </w:tc>
        <w:tc>
          <w:tcPr>
            <w:tcW w:w="2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20" w:type="dxa"/>
            <w:vAlign w:val="bottom"/>
            <w:tcBorders>
              <w:bottom w:val="single" w:sz="8" w:color="EAEAEA"/>
            </w:tcBorders>
            <w:gridSpan w:val="2"/>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rPr>
              <w:t>1,369,703</w:t>
            </w: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-1529080</wp:posOffset>
            </wp:positionV>
            <wp:extent cx="8629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3">
                      <a:extLst>
                        <a:ext uri="{28A0092B-C50C-407E-A947-70E740481C1C}"/>
                      </a:extLst>
                    </a:blip>
                    <a:srcRect/>
                    <a:stretch>
                      <a:fillRect/>
                    </a:stretch>
                  </pic:blipFill>
                  <pic:spPr bwMode="auto">
                    <a:xfrm>
                      <a:off x="0" y="0"/>
                      <a:ext cx="862965" cy="2540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-1402715</wp:posOffset>
            </wp:positionV>
            <wp:extent cx="186245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4">
                      <a:extLst>
                        <a:ext uri="{28A0092B-C50C-407E-A947-70E740481C1C}"/>
                      </a:extLst>
                    </a:blip>
                    <a:srcRect/>
                    <a:stretch>
                      <a:fillRect/>
                    </a:stretch>
                  </pic:blipFill>
                  <pic:spPr bwMode="auto">
                    <a:xfrm>
                      <a:off x="0" y="0"/>
                      <a:ext cx="1862455" cy="2540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-955040</wp:posOffset>
            </wp:positionV>
            <wp:extent cx="186245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5">
                      <a:extLst>
                        <a:ext uri="{28A0092B-C50C-407E-A947-70E740481C1C}"/>
                      </a:extLst>
                    </a:blip>
                    <a:srcRect/>
                    <a:stretch>
                      <a:fillRect/>
                    </a:stretch>
                  </pic:blipFill>
                  <pic:spPr bwMode="auto">
                    <a:xfrm>
                      <a:off x="0" y="0"/>
                      <a:ext cx="1862455" cy="2540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-186690</wp:posOffset>
            </wp:positionV>
            <wp:extent cx="186245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6">
                      <a:extLst>
                        <a:ext uri="{28A0092B-C50C-407E-A947-70E740481C1C}"/>
                      </a:extLst>
                    </a:blip>
                    <a:srcRect/>
                    <a:stretch>
                      <a:fillRect/>
                    </a:stretch>
                  </pic:blipFill>
                  <pic:spPr bwMode="auto">
                    <a:xfrm>
                      <a:off x="0" y="0"/>
                      <a:ext cx="1862455" cy="25400"/>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-780415</wp:posOffset>
            </wp:positionV>
            <wp:extent cx="178117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7">
                      <a:extLst>
                        <a:ext uri="{28A0092B-C50C-407E-A947-70E740481C1C}"/>
                      </a:extLst>
                    </a:blip>
                    <a:srcRect/>
                    <a:stretch>
                      <a:fillRect/>
                    </a:stretch>
                  </pic:blipFill>
                  <pic:spPr bwMode="auto">
                    <a:xfrm>
                      <a:off x="0" y="0"/>
                      <a:ext cx="1781175" cy="2540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Company’s revenue is measured based on consideration specified in its contracts with its customers. The Company</w:t>
      </w:r>
    </w:p>
    <w:p>
      <w:pPr>
        <w:spacing w:after="0" w:line="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recognizes revenue over time as it provides services to its customers, or at the point in time that control over a part or product transfers to its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6233795</wp:posOffset>
            </wp:positionH>
            <wp:positionV relativeFrom="paragraph">
              <wp:posOffset>-245745</wp:posOffset>
            </wp:positionV>
            <wp:extent cx="5080" cy="4763"/>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8">
                      <a:extLst>
                        <a:ext uri="{28A0092B-C50C-407E-A947-70E740481C1C}"/>
                      </a:extLst>
                    </a:blip>
                    <a:srcRect/>
                    <a:stretch>
                      <a:fillRect/>
                    </a:stretch>
                  </pic:blipFill>
                  <pic:spPr bwMode="auto">
                    <a:xfrm>
                      <a:off x="0" y="0"/>
                      <a:ext cx="5080" cy="4763"/>
                    </a:xfrm>
                    <a:prstGeom prst="rect">
                      <a:avLst/>
                    </a:prstGeom>
                    <a:noFill/>
                  </pic:spPr>
                </pic:pic>
              </a:graphicData>
            </a:graphic>
          </wp:anchor>
        </w:drawing>
      </w:r>
    </w:p>
    <w:p>
      <w:pPr>
        <w:spacing w:after="0" w:line="136" w:lineRule="exact"/>
        <w:rPr>
          <w:sz w:val="20"/>
          <w:szCs w:val="20"/>
          <w:color w:val="auto"/>
        </w:rPr>
      </w:pPr>
    </w:p>
    <w:p>
      <w:pPr>
        <w:jc w:val="both"/>
        <w:ind w:firstLine="373"/>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Contract Assets and Liabilities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Contract liabilities represent advance consideration received from customers, and are recognized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revenue over time or at a point in time as the related performance obligation is satisfied. Revenues recognized during the y ar ended December 31, 2025, 2024, and 2023, that were included in the opening contract liability balances were $136.3 million, $113.8 million and $84.0 million, respectively. The Company has recognized all contract liabilities within the deferred revenues financial statement caption on the balance sheet. The Company did not have any contract assets at December 31, 2025 or December 31, 2024.</w:t>
      </w:r>
    </w:p>
    <w:p>
      <w:pPr>
        <w:jc w:val="both"/>
        <w:ind w:firstLine="5"/>
        <w:spacing w:after="0" w:line="248" w:lineRule="auto"/>
        <w:rPr>
          <w:sz w:val="20"/>
          <w:szCs w:val="20"/>
          <w:color w:val="auto"/>
        </w:rPr>
      </w:pPr>
      <w:r>
        <w:rPr>
          <w:rFonts w:ascii="Times New Roman" w:cs="Times New Roman" w:eastAsia="Times New Roman" w:hAnsi="Times New Roman"/>
          <w:sz w:val="20"/>
          <w:szCs w:val="20"/>
          <w:color w:val="auto"/>
        </w:rPr>
        <w:t>The Company applies the practical expedient that allows non-disclosure of information about remaining performance obligations that have original expected durations of one year or less.</w:t>
      </w:r>
    </w:p>
    <w:p>
      <w:pPr>
        <w:spacing w:after="0" w:line="20" w:lineRule="exact"/>
        <w:rPr>
          <w:sz w:val="20"/>
          <w:szCs w:val="20"/>
          <w:color w:val="auto"/>
        </w:r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Segment Data</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Company’s operations are aggregated into two reportable business segments as follows:</w:t>
      </w:r>
    </w:p>
    <w:p>
      <w:pPr>
        <w:spacing w:after="0" w:line="20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Marine Transportation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marine transportation by United States flagged vessels principally of liquid cargoes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54"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Distribution and Services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equipment, after -market parts and services for power generation systems in applications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include behind the meter power systems and emergency backup systems, after-market and genuine replacement parts and servic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spacing w:after="0" w:line="16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Company’s two reportable business segments are managed separately by the Company’s chief operating decision maker (“CODM”), its Chief Executive Officer, based on fundamental differences in their operations. The Company’s accounting policies for the business segments are the same as those described in Note 1, Summary of Significant Accounting Policies. The CODM evaluates the performance of the Company’s segments based on the contributions to operating income of the respective segments, and before income taxes, interest, gains or losses on disposition of assets, other nonoperating income, noncontrolling interests, accountin changes, and nonrecurring items. The CODM uses segment operating income to allocate resources for each segment during the annual budget and forecasting process. The CODM considers budget-to-actual variances on a monthly basis for segment operating income when making decisions about allocating capital and personnel to the segments. The CODM also uses segment operating income to assess the performance for each segment by comparing the results and return on assets of each segment with one another.</w:t>
      </w: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929" w:right="720" w:bottom="176" w:gutter="0" w:footer="0" w:header="0"/>
          <w:type w:val="continuous"/>
        </w:sectPr>
      </w:pPr>
    </w:p>
    <w:bookmarkStart w:id="74" w:name="page75"/>
    <w:bookmarkEnd w:id="74"/>
    <w:p>
      <w:pPr>
        <w:jc w:val="both"/>
        <w:ind w:firstLine="363"/>
        <w:spacing w:after="0" w:line="259" w:lineRule="auto"/>
        <w:rPr>
          <w:sz w:val="20"/>
          <w:szCs w:val="20"/>
          <w:color w:val="auto"/>
        </w:rPr>
      </w:pPr>
      <w:r>
        <w:rPr>
          <w:rFonts w:ascii="Times New Roman" w:cs="Times New Roman" w:eastAsia="Times New Roman" w:hAnsi="Times New Roman"/>
          <w:sz w:val="20"/>
          <w:szCs w:val="20"/>
          <w:color w:val="auto"/>
        </w:rPr>
        <w:t>Intersegment revenues, based on market-based pricing, of KDS from the marine transportation segment (“KMT”) of $34.9 million, $26.1 million, and $39.8 million in 2025, 2024, and 2023, respectively, as well as the related intersegment profit of $3.5 million, $2.6 million, and $4.0 million in 2025, 2024, and 2023, respectively, have been eliminated from the tables below.</w:t>
      </w:r>
    </w:p>
    <w:p>
      <w:pPr>
        <w:spacing w:after="0" w:line="14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tables set forth by reportable segment the revenues, income or loss, depreciation and amortization, capital expenditures and total assets attributable to the principal activities of the Company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60"/>
        </w:trPr>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2660" w:type="dxa"/>
            <w:vAlign w:val="bottom"/>
            <w:gridSpan w:val="19"/>
            <w:vMerge w:val="restart"/>
          </w:tcPr>
          <w:p>
            <w:pPr>
              <w:jc w:val="center"/>
              <w:ind w:right="40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4"/>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3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4"/>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16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340" w:type="dxa"/>
            <w:vAlign w:val="bottom"/>
            <w:vMerge w:val="restart"/>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60" w:type="dxa"/>
            <w:vAlign w:val="bottom"/>
            <w:gridSpan w:val="19"/>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80" w:type="dxa"/>
            <w:vAlign w:val="bottom"/>
            <w:gridSpan w:val="13"/>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1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800" w:type="dxa"/>
            <w:vAlign w:val="bottom"/>
            <w:gridSpan w:val="13"/>
          </w:tcPr>
          <w:p>
            <w:pP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300" w:type="dxa"/>
            <w:vAlign w:val="bottom"/>
            <w:gridSpan w:val="4"/>
          </w:tcPr>
          <w:p>
            <w:pPr>
              <w:spacing w:after="0"/>
              <w:rPr>
                <w:sz w:val="18"/>
                <w:szCs w:val="18"/>
                <w:color w:val="auto"/>
              </w:rPr>
            </w:pPr>
          </w:p>
        </w:tc>
        <w:tc>
          <w:tcPr>
            <w:tcW w:w="860" w:type="dxa"/>
            <w:vAlign w:val="bottom"/>
            <w:tcBorders>
              <w:top w:val="single" w:sz="8" w:color="auto"/>
            </w:tcBorders>
            <w:gridSpan w:val="4"/>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tcBorders>
            <w:gridSpan w:val="9"/>
          </w:tcPr>
          <w:p>
            <w:pPr>
              <w:spacing w:after="0"/>
              <w:rPr>
                <w:sz w:val="18"/>
                <w:szCs w:val="18"/>
                <w:color w:val="auto"/>
              </w:rPr>
            </w:pPr>
          </w:p>
        </w:tc>
        <w:tc>
          <w:tcPr>
            <w:tcW w:w="220" w:type="dxa"/>
            <w:vAlign w:val="bottom"/>
            <w:gridSpan w:val="2"/>
          </w:tcPr>
          <w:p>
            <w:pPr>
              <w:spacing w:after="0"/>
              <w:rPr>
                <w:sz w:val="18"/>
                <w:szCs w:val="18"/>
                <w:color w:val="auto"/>
              </w:rPr>
            </w:pPr>
          </w:p>
        </w:tc>
        <w:tc>
          <w:tcPr>
            <w:tcW w:w="860" w:type="dxa"/>
            <w:vAlign w:val="bottom"/>
            <w:tcBorders>
              <w:top w:val="single" w:sz="8" w:color="auto"/>
            </w:tcBorders>
            <w:gridSpan w:val="5"/>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tcBorders>
            <w:gridSpan w:val="10"/>
          </w:tcPr>
          <w:p>
            <w:pPr>
              <w:spacing w:after="0"/>
              <w:rPr>
                <w:sz w:val="18"/>
                <w:szCs w:val="18"/>
                <w:color w:val="auto"/>
              </w:rPr>
            </w:pPr>
          </w:p>
        </w:tc>
        <w:tc>
          <w:tcPr>
            <w:tcW w:w="200" w:type="dxa"/>
            <w:vAlign w:val="bottom"/>
            <w:gridSpan w:val="2"/>
          </w:tcPr>
          <w:p>
            <w:pPr>
              <w:spacing w:after="0"/>
              <w:rPr>
                <w:sz w:val="18"/>
                <w:szCs w:val="18"/>
                <w:color w:val="auto"/>
              </w:rPr>
            </w:pPr>
          </w:p>
        </w:tc>
        <w:tc>
          <w:tcPr>
            <w:tcW w:w="860" w:type="dxa"/>
            <w:vAlign w:val="bottom"/>
            <w:tcBorders>
              <w:top w:val="single" w:sz="8" w:color="auto"/>
            </w:tcBorders>
            <w:gridSpan w:val="5"/>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tcBorders>
            <w:gridSpan w:val="10"/>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Revenue from</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KMT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KDS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7"/>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w w:val="94"/>
              </w:rPr>
              <w:t>KMT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KDS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4"/>
              </w:rPr>
              <w:t>KMT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KDS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7"/>
        </w:trPr>
        <w:tc>
          <w:tcPr>
            <w:tcW w:w="1300" w:type="dxa"/>
            <w:vAlign w:val="bottom"/>
            <w:gridSpan w:val="4"/>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1,935,305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1,428,745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3,364,050</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1,913,050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1,352,826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8"/>
            <w:vMerge w:val="restart"/>
          </w:tcPr>
          <w:p>
            <w:pPr>
              <w:jc w:val="right"/>
              <w:spacing w:after="0"/>
              <w:rPr>
                <w:sz w:val="20"/>
                <w:szCs w:val="20"/>
                <w:color w:val="auto"/>
              </w:rPr>
            </w:pPr>
            <w:r>
              <w:rPr>
                <w:rFonts w:ascii="Times New Roman" w:cs="Times New Roman" w:eastAsia="Times New Roman" w:hAnsi="Times New Roman"/>
                <w:sz w:val="16"/>
                <w:szCs w:val="16"/>
                <w:color w:val="auto"/>
              </w:rPr>
              <w:t>3,265,876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1,721,937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1,369,703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7"/>
            <w:vMerge w:val="restart"/>
          </w:tcPr>
          <w:p>
            <w:pPr>
              <w:jc w:val="right"/>
              <w:spacing w:after="0"/>
              <w:rPr>
                <w:sz w:val="20"/>
                <w:szCs w:val="20"/>
                <w:color w:val="auto"/>
              </w:rPr>
            </w:pPr>
            <w:r>
              <w:rPr>
                <w:rFonts w:ascii="Times New Roman" w:cs="Times New Roman" w:eastAsia="Times New Roman" w:hAnsi="Times New Roman"/>
                <w:sz w:val="16"/>
                <w:szCs w:val="16"/>
                <w:color w:val="auto"/>
              </w:rPr>
              <w:t>3,091,640</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external customers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vMerge w:val="continue"/>
          </w:tcPr>
          <w:p>
            <w:pPr>
              <w:spacing w:after="0"/>
              <w:rPr>
                <w:sz w:val="17"/>
                <w:szCs w:val="17"/>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7"/>
                <w:szCs w:val="17"/>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8"/>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7"/>
                <w:szCs w:val="17"/>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gridSpan w:val="26"/>
            <w:shd w:val="clear" w:color="auto" w:fill="EAEAEA"/>
          </w:tcPr>
          <w:p>
            <w:pPr>
              <w:spacing w:after="0"/>
              <w:rPr>
                <w:sz w:val="18"/>
                <w:szCs w:val="18"/>
                <w:color w:val="auto"/>
              </w:rPr>
            </w:pPr>
          </w:p>
        </w:tc>
        <w:tc>
          <w:tcPr>
            <w:tcW w:w="3240" w:type="dxa"/>
            <w:vAlign w:val="bottom"/>
            <w:tcBorders>
              <w:left w:val="single" w:sz="8" w:color="EAEAEA"/>
            </w:tcBorders>
            <w:gridSpan w:val="25"/>
          </w:tcPr>
          <w:p>
            <w:pPr>
              <w:spacing w:after="0"/>
              <w:rPr>
                <w:sz w:val="18"/>
                <w:szCs w:val="18"/>
                <w:color w:val="auto"/>
              </w:rPr>
            </w:pPr>
          </w:p>
        </w:tc>
        <w:tc>
          <w:tcPr>
            <w:tcW w:w="3200" w:type="dxa"/>
            <w:vAlign w:val="bottom"/>
            <w:tcBorders>
              <w:left w:val="single" w:sz="8" w:color="EAEAEA"/>
            </w:tcBorders>
            <w:gridSpan w:val="2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0" w:type="dxa"/>
            <w:vAlign w:val="bottom"/>
            <w:gridSpan w:val="78"/>
          </w:tcPr>
          <w:p>
            <w:pPr>
              <w:spacing w:after="0"/>
              <w:rPr>
                <w:sz w:val="20"/>
                <w:szCs w:val="20"/>
                <w:color w:val="auto"/>
              </w:rPr>
            </w:pPr>
            <w:r>
              <w:rPr>
                <w:rFonts w:ascii="Times New Roman" w:cs="Times New Roman" w:eastAsia="Times New Roman" w:hAnsi="Times New Roman"/>
                <w:sz w:val="16"/>
                <w:szCs w:val="16"/>
                <w:color w:val="auto"/>
              </w:rPr>
              <w:t>Less:</w:t>
            </w:r>
          </w:p>
        </w:tc>
        <w:tc>
          <w:tcPr>
            <w:tcW w:w="0" w:type="dxa"/>
            <w:vAlign w:val="bottom"/>
          </w:tcPr>
          <w:p>
            <w:pPr>
              <w:spacing w:after="0"/>
              <w:rPr>
                <w:sz w:val="1"/>
                <w:szCs w:val="1"/>
                <w:color w:val="auto"/>
              </w:rPr>
            </w:pPr>
          </w:p>
        </w:tc>
      </w:tr>
      <w:tr>
        <w:trPr>
          <w:trHeight w:val="166"/>
        </w:trPr>
        <w:tc>
          <w:tcPr>
            <w:tcW w:w="4360" w:type="dxa"/>
            <w:vAlign w:val="bottom"/>
            <w:gridSpan w:val="26"/>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Costs of sales</w:t>
            </w:r>
          </w:p>
        </w:tc>
        <w:tc>
          <w:tcPr>
            <w:tcW w:w="3240" w:type="dxa"/>
            <w:vAlign w:val="bottom"/>
            <w:tcBorders>
              <w:left w:val="single" w:sz="8" w:color="EAEAEA"/>
            </w:tcBorders>
            <w:gridSpan w:val="25"/>
          </w:tcPr>
          <w:p>
            <w:pPr>
              <w:spacing w:after="0"/>
              <w:rPr>
                <w:sz w:val="14"/>
                <w:szCs w:val="14"/>
                <w:color w:val="auto"/>
              </w:rPr>
            </w:pPr>
          </w:p>
        </w:tc>
        <w:tc>
          <w:tcPr>
            <w:tcW w:w="3200" w:type="dxa"/>
            <w:vAlign w:val="bottom"/>
            <w:tcBorders>
              <w:left w:val="single" w:sz="8" w:color="EAEAEA"/>
            </w:tcBorders>
            <w:gridSpan w:val="2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EAEAEA"/>
          </w:tcPr>
          <w:p>
            <w:pPr>
              <w:spacing w:after="0"/>
              <w:rPr>
                <w:sz w:val="18"/>
                <w:szCs w:val="18"/>
                <w:color w:val="auto"/>
              </w:rPr>
            </w:pPr>
          </w:p>
        </w:tc>
        <w:tc>
          <w:tcPr>
            <w:tcW w:w="110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and operating</w:t>
            </w: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64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3"/>
              </w:rPr>
              <w:t>1,175,628</w:t>
            </w: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64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rPr>
              <w:t>1,045,421</w:t>
            </w: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640" w:type="dxa"/>
            <w:vAlign w:val="bottom"/>
            <w:gridSpan w:val="5"/>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2,221,049</w:t>
            </w: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80" w:type="dxa"/>
            <w:vAlign w:val="bottom"/>
            <w:tcBorders>
              <w:left w:val="single" w:sz="8" w:color="EAEAEA"/>
            </w:tcBorders>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64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3"/>
              </w:rPr>
              <w:t>1,188,794</w:t>
            </w:r>
          </w:p>
        </w:tc>
        <w:tc>
          <w:tcPr>
            <w:tcW w:w="1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4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rPr>
              <w:t>1,008,008</w:t>
            </w:r>
          </w:p>
        </w:tc>
        <w:tc>
          <w:tcPr>
            <w:tcW w:w="1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640" w:type="dxa"/>
            <w:vAlign w:val="bottom"/>
            <w:gridSpan w:val="6"/>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2,196,802</w:t>
            </w: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60" w:type="dxa"/>
            <w:vAlign w:val="bottom"/>
            <w:tcBorders>
              <w:left w:val="single" w:sz="8" w:color="EAEAEA"/>
            </w:tcBorders>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2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rPr>
              <w:t>1,136,526</w:t>
            </w:r>
          </w:p>
        </w:tc>
        <w:tc>
          <w:tcPr>
            <w:tcW w:w="1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2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rPr>
              <w:t>1,040,905</w:t>
            </w:r>
          </w:p>
        </w:tc>
        <w:tc>
          <w:tcPr>
            <w:tcW w:w="1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620" w:type="dxa"/>
            <w:vAlign w:val="bottom"/>
            <w:gridSpan w:val="6"/>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3"/>
                <w:shd w:val="clear" w:color="auto" w:fill="EAEAEA"/>
              </w:rPr>
              <w:t>2,177,431</w:t>
            </w: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EAEAEA"/>
          </w:tcPr>
          <w:p>
            <w:pPr>
              <w:spacing w:after="0"/>
              <w:rPr>
                <w:sz w:val="16"/>
                <w:szCs w:val="16"/>
                <w:color w:val="auto"/>
              </w:rPr>
            </w:pPr>
          </w:p>
        </w:tc>
        <w:tc>
          <w:tcPr>
            <w:tcW w:w="800" w:type="dxa"/>
            <w:vAlign w:val="bottom"/>
            <w:gridSpan w:val="2"/>
            <w:shd w:val="clear" w:color="auto" w:fill="EAEAEA"/>
          </w:tcPr>
          <w:p>
            <w:pPr>
              <w:spacing w:after="0" w:line="176" w:lineRule="exact"/>
              <w:rPr>
                <w:sz w:val="20"/>
                <w:szCs w:val="20"/>
                <w:color w:val="auto"/>
              </w:rPr>
            </w:pPr>
            <w:r>
              <w:rPr>
                <w:rFonts w:ascii="Times New Roman" w:cs="Times New Roman" w:eastAsia="Times New Roman" w:hAnsi="Times New Roman"/>
                <w:sz w:val="16"/>
                <w:szCs w:val="16"/>
                <w:color w:val="auto"/>
                <w:shd w:val="clear" w:color="auto" w:fill="EAEAEA"/>
              </w:rPr>
              <w:t>expense</w:t>
            </w:r>
          </w:p>
        </w:tc>
        <w:tc>
          <w:tcPr>
            <w:tcW w:w="30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40" w:type="dxa"/>
            <w:vAlign w:val="bottom"/>
            <w:gridSpan w:val="2"/>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40" w:type="dxa"/>
            <w:vAlign w:val="bottom"/>
            <w:gridSpan w:val="3"/>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640" w:type="dxa"/>
            <w:vAlign w:val="bottom"/>
            <w:gridSpan w:val="5"/>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180" w:type="dxa"/>
            <w:vAlign w:val="bottom"/>
            <w:tcBorders>
              <w:left w:val="single" w:sz="8" w:color="EAEAEA"/>
            </w:tcBorders>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40" w:type="dxa"/>
            <w:vAlign w:val="bottom"/>
            <w:gridSpan w:val="3"/>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40" w:type="dxa"/>
            <w:vAlign w:val="bottom"/>
            <w:gridSpan w:val="3"/>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40" w:type="dxa"/>
            <w:vAlign w:val="bottom"/>
            <w:gridSpan w:val="6"/>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160" w:type="dxa"/>
            <w:vAlign w:val="bottom"/>
            <w:tcBorders>
              <w:left w:val="single" w:sz="8" w:color="EAEAEA"/>
            </w:tcBorders>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20" w:type="dxa"/>
            <w:vAlign w:val="bottom"/>
            <w:gridSpan w:val="3"/>
            <w:vMerge w:val="continue"/>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20" w:type="dxa"/>
            <w:vAlign w:val="bottom"/>
            <w:gridSpan w:val="3"/>
            <w:vMerge w:val="continue"/>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620" w:type="dxa"/>
            <w:vAlign w:val="bottom"/>
            <w:gridSpan w:val="6"/>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0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6"/>
                <w:szCs w:val="16"/>
                <w:color w:val="auto"/>
              </w:rPr>
              <w:t>Administrative</w:t>
            </w:r>
          </w:p>
        </w:tc>
        <w:tc>
          <w:tcPr>
            <w:tcW w:w="140" w:type="dxa"/>
            <w:vAlign w:val="bottom"/>
          </w:tcPr>
          <w:p>
            <w:pPr>
              <w:spacing w:after="0"/>
              <w:rPr>
                <w:sz w:val="15"/>
                <w:szCs w:val="15"/>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77,956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96,798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174,754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76,578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89,512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8"/>
            <w:vMerge w:val="restart"/>
          </w:tcPr>
          <w:p>
            <w:pPr>
              <w:jc w:val="right"/>
              <w:spacing w:after="0"/>
              <w:rPr>
                <w:sz w:val="20"/>
                <w:szCs w:val="20"/>
                <w:color w:val="auto"/>
              </w:rPr>
            </w:pPr>
            <w:r>
              <w:rPr>
                <w:rFonts w:ascii="Times New Roman" w:cs="Times New Roman" w:eastAsia="Times New Roman" w:hAnsi="Times New Roman"/>
                <w:sz w:val="16"/>
                <w:szCs w:val="16"/>
                <w:color w:val="auto"/>
              </w:rPr>
              <w:t>166,090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75,829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89,052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8"/>
            <w:vMerge w:val="restart"/>
          </w:tcPr>
          <w:p>
            <w:pPr>
              <w:jc w:val="right"/>
              <w:spacing w:after="0"/>
              <w:rPr>
                <w:sz w:val="20"/>
                <w:szCs w:val="20"/>
                <w:color w:val="auto"/>
              </w:rPr>
            </w:pPr>
            <w:r>
              <w:rPr>
                <w:rFonts w:ascii="Times New Roman" w:cs="Times New Roman" w:eastAsia="Times New Roman" w:hAnsi="Times New Roman"/>
                <w:sz w:val="16"/>
                <w:szCs w:val="16"/>
                <w:color w:val="auto"/>
              </w:rPr>
              <w:t>164,881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payroll expense</w:t>
            </w:r>
          </w:p>
        </w:tc>
        <w:tc>
          <w:tcPr>
            <w:tcW w:w="14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7"/>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8"/>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00" w:type="dxa"/>
            <w:vAlign w:val="bottom"/>
            <w:gridSpan w:val="7"/>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Taxes, other</w:t>
            </w:r>
          </w:p>
        </w:tc>
        <w:tc>
          <w:tcPr>
            <w:tcW w:w="46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EAEAEA"/>
              </w:rPr>
              <w:t>26,749</w:t>
            </w:r>
          </w:p>
        </w:tc>
        <w:tc>
          <w:tcPr>
            <w:tcW w:w="720" w:type="dxa"/>
            <w:vAlign w:val="bottom"/>
            <w:gridSpan w:val="6"/>
            <w:shd w:val="clear" w:color="auto" w:fill="EAEAEA"/>
          </w:tcPr>
          <w:p>
            <w:pPr>
              <w:spacing w:after="0"/>
              <w:rPr>
                <w:sz w:val="16"/>
                <w:szCs w:val="16"/>
                <w:color w:val="auto"/>
              </w:rPr>
            </w:pPr>
          </w:p>
        </w:tc>
        <w:tc>
          <w:tcPr>
            <w:tcW w:w="36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8"/>
                <w:shd w:val="clear" w:color="auto" w:fill="EAEAEA"/>
              </w:rPr>
              <w:t>8,776</w:t>
            </w:r>
          </w:p>
        </w:tc>
        <w:tc>
          <w:tcPr>
            <w:tcW w:w="620" w:type="dxa"/>
            <w:vAlign w:val="bottom"/>
            <w:gridSpan w:val="7"/>
            <w:shd w:val="clear" w:color="auto" w:fill="EAEAEA"/>
          </w:tcPr>
          <w:p>
            <w:pPr>
              <w:spacing w:after="0"/>
              <w:rPr>
                <w:sz w:val="16"/>
                <w:szCs w:val="16"/>
                <w:color w:val="auto"/>
              </w:rPr>
            </w:pPr>
          </w:p>
        </w:tc>
        <w:tc>
          <w:tcPr>
            <w:tcW w:w="44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EAEAEA"/>
              </w:rPr>
              <w:t>35,525</w:t>
            </w:r>
          </w:p>
        </w:tc>
        <w:tc>
          <w:tcPr>
            <w:tcW w:w="60" w:type="dxa"/>
            <w:vAlign w:val="bottom"/>
            <w:gridSpan w:val="2"/>
            <w:shd w:val="clear" w:color="auto" w:fill="EAEAEA"/>
          </w:tcPr>
          <w:p>
            <w:pPr>
              <w:spacing w:after="0"/>
              <w:rPr>
                <w:sz w:val="16"/>
                <w:szCs w:val="16"/>
                <w:color w:val="auto"/>
              </w:rPr>
            </w:pPr>
          </w:p>
        </w:tc>
        <w:tc>
          <w:tcPr>
            <w:tcW w:w="580" w:type="dxa"/>
            <w:vAlign w:val="bottom"/>
            <w:tcBorders>
              <w:left w:val="single" w:sz="8" w:color="EAEAEA"/>
            </w:tcBorders>
            <w:gridSpan w:val="4"/>
          </w:tcPr>
          <w:p>
            <w:pPr>
              <w:spacing w:after="0"/>
              <w:rPr>
                <w:sz w:val="16"/>
                <w:szCs w:val="16"/>
                <w:color w:val="auto"/>
              </w:rPr>
            </w:pPr>
          </w:p>
        </w:tc>
        <w:tc>
          <w:tcPr>
            <w:tcW w:w="46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EAEAEA"/>
              </w:rPr>
              <w:t>26,476</w:t>
            </w:r>
          </w:p>
        </w:tc>
        <w:tc>
          <w:tcPr>
            <w:tcW w:w="700" w:type="dxa"/>
            <w:vAlign w:val="bottom"/>
            <w:gridSpan w:val="6"/>
            <w:shd w:val="clear" w:color="auto" w:fill="EAEAEA"/>
          </w:tcPr>
          <w:p>
            <w:pPr>
              <w:spacing w:after="0"/>
              <w:rPr>
                <w:sz w:val="16"/>
                <w:szCs w:val="16"/>
                <w:color w:val="auto"/>
              </w:rPr>
            </w:pPr>
          </w:p>
        </w:tc>
        <w:tc>
          <w:tcPr>
            <w:tcW w:w="38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4"/>
                <w:shd w:val="clear" w:color="auto" w:fill="EAEAEA"/>
              </w:rPr>
              <w:t>8,329</w:t>
            </w:r>
          </w:p>
        </w:tc>
        <w:tc>
          <w:tcPr>
            <w:tcW w:w="620" w:type="dxa"/>
            <w:vAlign w:val="bottom"/>
            <w:gridSpan w:val="8"/>
            <w:shd w:val="clear" w:color="auto" w:fill="EAEAEA"/>
          </w:tcPr>
          <w:p>
            <w:pPr>
              <w:spacing w:after="0"/>
              <w:rPr>
                <w:sz w:val="16"/>
                <w:szCs w:val="16"/>
                <w:color w:val="auto"/>
              </w:rPr>
            </w:pPr>
          </w:p>
        </w:tc>
        <w:tc>
          <w:tcPr>
            <w:tcW w:w="44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34,805</w:t>
            </w:r>
          </w:p>
        </w:tc>
        <w:tc>
          <w:tcPr>
            <w:tcW w:w="60" w:type="dxa"/>
            <w:vAlign w:val="bottom"/>
            <w:gridSpan w:val="2"/>
            <w:shd w:val="clear" w:color="auto" w:fill="EAEAEA"/>
          </w:tcPr>
          <w:p>
            <w:pPr>
              <w:spacing w:after="0"/>
              <w:rPr>
                <w:sz w:val="16"/>
                <w:szCs w:val="16"/>
                <w:color w:val="auto"/>
              </w:rPr>
            </w:pPr>
          </w:p>
        </w:tc>
        <w:tc>
          <w:tcPr>
            <w:tcW w:w="580" w:type="dxa"/>
            <w:vAlign w:val="bottom"/>
            <w:tcBorders>
              <w:left w:val="single" w:sz="8" w:color="EAEAEA"/>
            </w:tcBorders>
            <w:gridSpan w:val="4"/>
          </w:tcPr>
          <w:p>
            <w:pPr>
              <w:spacing w:after="0"/>
              <w:rPr>
                <w:sz w:val="16"/>
                <w:szCs w:val="16"/>
                <w:color w:val="auto"/>
              </w:rPr>
            </w:pPr>
          </w:p>
        </w:tc>
        <w:tc>
          <w:tcPr>
            <w:tcW w:w="44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27,602</w:t>
            </w:r>
          </w:p>
        </w:tc>
        <w:tc>
          <w:tcPr>
            <w:tcW w:w="720" w:type="dxa"/>
            <w:vAlign w:val="bottom"/>
            <w:gridSpan w:val="6"/>
            <w:shd w:val="clear" w:color="auto" w:fill="EAEAEA"/>
          </w:tcPr>
          <w:p>
            <w:pPr>
              <w:spacing w:after="0"/>
              <w:rPr>
                <w:sz w:val="16"/>
                <w:szCs w:val="16"/>
                <w:color w:val="auto"/>
              </w:rPr>
            </w:pPr>
          </w:p>
        </w:tc>
        <w:tc>
          <w:tcPr>
            <w:tcW w:w="36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8"/>
                <w:shd w:val="clear" w:color="auto" w:fill="EAEAEA"/>
              </w:rPr>
              <w:t>7,051</w:t>
            </w:r>
          </w:p>
        </w:tc>
        <w:tc>
          <w:tcPr>
            <w:tcW w:w="580" w:type="dxa"/>
            <w:vAlign w:val="bottom"/>
            <w:gridSpan w:val="8"/>
            <w:shd w:val="clear" w:color="auto" w:fill="EAEAEA"/>
          </w:tcPr>
          <w:p>
            <w:pPr>
              <w:spacing w:after="0"/>
              <w:rPr>
                <w:sz w:val="16"/>
                <w:szCs w:val="16"/>
                <w:color w:val="auto"/>
              </w:rPr>
            </w:pPr>
          </w:p>
        </w:tc>
        <w:tc>
          <w:tcPr>
            <w:tcW w:w="42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34,653</w:t>
            </w:r>
          </w:p>
        </w:tc>
        <w:tc>
          <w:tcPr>
            <w:tcW w:w="100" w:type="dxa"/>
            <w:vAlign w:val="bottom"/>
            <w:gridSpan w:val="4"/>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0" w:type="dxa"/>
            <w:vAlign w:val="bottom"/>
            <w:tcBorders>
              <w:bottom w:val="single" w:sz="8" w:color="EAEAEA"/>
            </w:tcBorders>
            <w:gridSpan w:val="3"/>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than on inco</w:t>
            </w:r>
          </w:p>
        </w:tc>
        <w:tc>
          <w:tcPr>
            <w:tcW w:w="700" w:type="dxa"/>
            <w:vAlign w:val="bottom"/>
            <w:tcBorders>
              <w:bottom w:val="single" w:sz="8" w:color="EAEAEA"/>
            </w:tcBorders>
            <w:gridSpan w:val="4"/>
            <w:shd w:val="clear" w:color="auto" w:fill="EAEAEA"/>
          </w:tcPr>
          <w:p>
            <w:pPr>
              <w:spacing w:after="0" w:line="160" w:lineRule="exact"/>
              <w:rPr>
                <w:sz w:val="20"/>
                <w:szCs w:val="20"/>
                <w:color w:val="auto"/>
              </w:rPr>
            </w:pPr>
            <w:r>
              <w:rPr>
                <w:rFonts w:ascii="Times New Roman" w:cs="Times New Roman" w:eastAsia="Times New Roman" w:hAnsi="Times New Roman"/>
                <w:sz w:val="16"/>
                <w:szCs w:val="16"/>
                <w:color w:val="auto"/>
                <w:shd w:val="clear" w:color="auto" w:fill="EAEAEA"/>
              </w:rPr>
              <w:t>me</w:t>
            </w:r>
          </w:p>
        </w:tc>
        <w:tc>
          <w:tcPr>
            <w:tcW w:w="460" w:type="dxa"/>
            <w:vAlign w:val="bottom"/>
            <w:tcBorders>
              <w:bottom w:val="single" w:sz="8" w:color="EAEAEA"/>
            </w:tcBorders>
            <w:vMerge w:val="continue"/>
            <w:shd w:val="clear" w:color="auto" w:fill="EAEAEA"/>
          </w:tcPr>
          <w:p>
            <w:pPr>
              <w:spacing w:after="0"/>
              <w:rPr>
                <w:sz w:val="14"/>
                <w:szCs w:val="14"/>
                <w:color w:val="auto"/>
              </w:rPr>
            </w:pPr>
          </w:p>
        </w:tc>
        <w:tc>
          <w:tcPr>
            <w:tcW w:w="720" w:type="dxa"/>
            <w:vAlign w:val="bottom"/>
            <w:tcBorders>
              <w:bottom w:val="single" w:sz="8" w:color="EAEAEA"/>
            </w:tcBorders>
            <w:gridSpan w:val="6"/>
            <w:shd w:val="clear" w:color="auto" w:fill="EAEAEA"/>
          </w:tcPr>
          <w:p>
            <w:pPr>
              <w:spacing w:after="0"/>
              <w:rPr>
                <w:sz w:val="14"/>
                <w:szCs w:val="14"/>
                <w:color w:val="auto"/>
              </w:rPr>
            </w:pPr>
          </w:p>
        </w:tc>
        <w:tc>
          <w:tcPr>
            <w:tcW w:w="360" w:type="dxa"/>
            <w:vAlign w:val="bottom"/>
            <w:tcBorders>
              <w:bottom w:val="single" w:sz="8" w:color="EAEAEA"/>
            </w:tcBorders>
            <w:vMerge w:val="continue"/>
            <w:shd w:val="clear" w:color="auto" w:fill="EAEAEA"/>
          </w:tcPr>
          <w:p>
            <w:pPr>
              <w:spacing w:after="0"/>
              <w:rPr>
                <w:sz w:val="14"/>
                <w:szCs w:val="14"/>
                <w:color w:val="auto"/>
              </w:rPr>
            </w:pPr>
          </w:p>
        </w:tc>
        <w:tc>
          <w:tcPr>
            <w:tcW w:w="620" w:type="dxa"/>
            <w:vAlign w:val="bottom"/>
            <w:tcBorders>
              <w:bottom w:val="single" w:sz="8" w:color="EAEAEA"/>
            </w:tcBorders>
            <w:gridSpan w:val="7"/>
            <w:shd w:val="clear" w:color="auto" w:fill="EAEAEA"/>
          </w:tcPr>
          <w:p>
            <w:pPr>
              <w:spacing w:after="0"/>
              <w:rPr>
                <w:sz w:val="14"/>
                <w:szCs w:val="14"/>
                <w:color w:val="auto"/>
              </w:rPr>
            </w:pPr>
          </w:p>
        </w:tc>
        <w:tc>
          <w:tcPr>
            <w:tcW w:w="440" w:type="dxa"/>
            <w:vAlign w:val="bottom"/>
            <w:tcBorders>
              <w:bottom w:val="single" w:sz="8" w:color="EAEAEA"/>
            </w:tcBorders>
            <w:gridSpan w:val="2"/>
            <w:vMerge w:val="continue"/>
            <w:shd w:val="clear" w:color="auto" w:fill="EAEAEA"/>
          </w:tcPr>
          <w:p>
            <w:pPr>
              <w:spacing w:after="0"/>
              <w:rPr>
                <w:sz w:val="14"/>
                <w:szCs w:val="14"/>
                <w:color w:val="auto"/>
              </w:rPr>
            </w:pPr>
          </w:p>
        </w:tc>
        <w:tc>
          <w:tcPr>
            <w:tcW w:w="60" w:type="dxa"/>
            <w:vAlign w:val="bottom"/>
            <w:tcBorders>
              <w:bottom w:val="single" w:sz="8" w:color="EAEAEA"/>
            </w:tcBorders>
            <w:gridSpan w:val="2"/>
            <w:shd w:val="clear" w:color="auto" w:fill="EAEAEA"/>
          </w:tcPr>
          <w:p>
            <w:pPr>
              <w:spacing w:after="0"/>
              <w:rPr>
                <w:sz w:val="14"/>
                <w:szCs w:val="14"/>
                <w:color w:val="auto"/>
              </w:rPr>
            </w:pPr>
          </w:p>
        </w:tc>
        <w:tc>
          <w:tcPr>
            <w:tcW w:w="180" w:type="dxa"/>
            <w:vAlign w:val="bottom"/>
            <w:tcBorders>
              <w:left w:val="single" w:sz="8" w:color="EAEAEA"/>
            </w:tcBorders>
          </w:tcPr>
          <w:p>
            <w:pPr>
              <w:spacing w:after="0"/>
              <w:rPr>
                <w:sz w:val="14"/>
                <w:szCs w:val="14"/>
                <w:color w:val="auto"/>
              </w:rPr>
            </w:pPr>
          </w:p>
        </w:tc>
        <w:tc>
          <w:tcPr>
            <w:tcW w:w="400" w:type="dxa"/>
            <w:vAlign w:val="bottom"/>
            <w:tcBorders>
              <w:bottom w:val="single" w:sz="8" w:color="EAEAEA"/>
            </w:tcBorders>
            <w:gridSpan w:val="3"/>
            <w:shd w:val="clear" w:color="auto" w:fill="EAEAEA"/>
          </w:tcPr>
          <w:p>
            <w:pPr>
              <w:spacing w:after="0"/>
              <w:rPr>
                <w:sz w:val="14"/>
                <w:szCs w:val="14"/>
                <w:color w:val="auto"/>
              </w:rPr>
            </w:pPr>
          </w:p>
        </w:tc>
        <w:tc>
          <w:tcPr>
            <w:tcW w:w="460" w:type="dxa"/>
            <w:vAlign w:val="bottom"/>
            <w:tcBorders>
              <w:bottom w:val="single" w:sz="8" w:color="EAEAEA"/>
            </w:tcBorders>
            <w:gridSpan w:val="2"/>
            <w:vMerge w:val="continue"/>
            <w:shd w:val="clear" w:color="auto" w:fill="EAEAEA"/>
          </w:tcPr>
          <w:p>
            <w:pPr>
              <w:spacing w:after="0"/>
              <w:rPr>
                <w:sz w:val="14"/>
                <w:szCs w:val="14"/>
                <w:color w:val="auto"/>
              </w:rPr>
            </w:pPr>
          </w:p>
        </w:tc>
        <w:tc>
          <w:tcPr>
            <w:tcW w:w="700" w:type="dxa"/>
            <w:vAlign w:val="bottom"/>
            <w:tcBorders>
              <w:bottom w:val="single" w:sz="8" w:color="EAEAEA"/>
            </w:tcBorders>
            <w:gridSpan w:val="6"/>
            <w:shd w:val="clear" w:color="auto" w:fill="EAEAEA"/>
          </w:tcPr>
          <w:p>
            <w:pPr>
              <w:spacing w:after="0"/>
              <w:rPr>
                <w:sz w:val="14"/>
                <w:szCs w:val="14"/>
                <w:color w:val="auto"/>
              </w:rPr>
            </w:pPr>
          </w:p>
        </w:tc>
        <w:tc>
          <w:tcPr>
            <w:tcW w:w="380" w:type="dxa"/>
            <w:vAlign w:val="bottom"/>
            <w:tcBorders>
              <w:bottom w:val="single" w:sz="8" w:color="EAEAEA"/>
            </w:tcBorders>
            <w:vMerge w:val="continue"/>
            <w:shd w:val="clear" w:color="auto" w:fill="EAEAEA"/>
          </w:tcPr>
          <w:p>
            <w:pPr>
              <w:spacing w:after="0"/>
              <w:rPr>
                <w:sz w:val="14"/>
                <w:szCs w:val="14"/>
                <w:color w:val="auto"/>
              </w:rPr>
            </w:pPr>
          </w:p>
        </w:tc>
        <w:tc>
          <w:tcPr>
            <w:tcW w:w="620" w:type="dxa"/>
            <w:vAlign w:val="bottom"/>
            <w:tcBorders>
              <w:bottom w:val="single" w:sz="8" w:color="EAEAEA"/>
            </w:tcBorders>
            <w:gridSpan w:val="8"/>
            <w:shd w:val="clear" w:color="auto" w:fill="EAEAEA"/>
          </w:tcPr>
          <w:p>
            <w:pPr>
              <w:spacing w:after="0"/>
              <w:rPr>
                <w:sz w:val="14"/>
                <w:szCs w:val="14"/>
                <w:color w:val="auto"/>
              </w:rPr>
            </w:pPr>
          </w:p>
        </w:tc>
        <w:tc>
          <w:tcPr>
            <w:tcW w:w="440" w:type="dxa"/>
            <w:vAlign w:val="bottom"/>
            <w:tcBorders>
              <w:bottom w:val="single" w:sz="8" w:color="EAEAEA"/>
            </w:tcBorders>
            <w:gridSpan w:val="2"/>
            <w:vMerge w:val="continue"/>
            <w:shd w:val="clear" w:color="auto" w:fill="EAEAEA"/>
          </w:tcPr>
          <w:p>
            <w:pPr>
              <w:spacing w:after="0"/>
              <w:rPr>
                <w:sz w:val="14"/>
                <w:szCs w:val="14"/>
                <w:color w:val="auto"/>
              </w:rPr>
            </w:pPr>
          </w:p>
        </w:tc>
        <w:tc>
          <w:tcPr>
            <w:tcW w:w="60" w:type="dxa"/>
            <w:vAlign w:val="bottom"/>
            <w:tcBorders>
              <w:bottom w:val="single" w:sz="8" w:color="EAEAEA"/>
            </w:tcBorders>
            <w:gridSpan w:val="2"/>
            <w:shd w:val="clear" w:color="auto" w:fill="EAEAEA"/>
          </w:tcPr>
          <w:p>
            <w:pPr>
              <w:spacing w:after="0"/>
              <w:rPr>
                <w:sz w:val="14"/>
                <w:szCs w:val="14"/>
                <w:color w:val="auto"/>
              </w:rPr>
            </w:pPr>
          </w:p>
        </w:tc>
        <w:tc>
          <w:tcPr>
            <w:tcW w:w="160" w:type="dxa"/>
            <w:vAlign w:val="bottom"/>
            <w:tcBorders>
              <w:left w:val="single" w:sz="8" w:color="EAEAEA"/>
            </w:tcBorders>
          </w:tcPr>
          <w:p>
            <w:pPr>
              <w:spacing w:after="0"/>
              <w:rPr>
                <w:sz w:val="14"/>
                <w:szCs w:val="14"/>
                <w:color w:val="auto"/>
              </w:rPr>
            </w:pPr>
          </w:p>
        </w:tc>
        <w:tc>
          <w:tcPr>
            <w:tcW w:w="420" w:type="dxa"/>
            <w:vAlign w:val="bottom"/>
            <w:tcBorders>
              <w:bottom w:val="single" w:sz="8" w:color="EAEAEA"/>
            </w:tcBorders>
            <w:gridSpan w:val="3"/>
            <w:shd w:val="clear" w:color="auto" w:fill="EAEAEA"/>
          </w:tcPr>
          <w:p>
            <w:pPr>
              <w:spacing w:after="0"/>
              <w:rPr>
                <w:sz w:val="14"/>
                <w:szCs w:val="14"/>
                <w:color w:val="auto"/>
              </w:rPr>
            </w:pPr>
          </w:p>
        </w:tc>
        <w:tc>
          <w:tcPr>
            <w:tcW w:w="440" w:type="dxa"/>
            <w:vAlign w:val="bottom"/>
            <w:tcBorders>
              <w:bottom w:val="single" w:sz="8" w:color="EAEAEA"/>
            </w:tcBorders>
            <w:gridSpan w:val="2"/>
            <w:vMerge w:val="continue"/>
            <w:shd w:val="clear" w:color="auto" w:fill="EAEAEA"/>
          </w:tcPr>
          <w:p>
            <w:pPr>
              <w:spacing w:after="0"/>
              <w:rPr>
                <w:sz w:val="14"/>
                <w:szCs w:val="14"/>
                <w:color w:val="auto"/>
              </w:rPr>
            </w:pPr>
          </w:p>
        </w:tc>
        <w:tc>
          <w:tcPr>
            <w:tcW w:w="720" w:type="dxa"/>
            <w:vAlign w:val="bottom"/>
            <w:tcBorders>
              <w:bottom w:val="single" w:sz="8" w:color="EAEAEA"/>
            </w:tcBorders>
            <w:gridSpan w:val="6"/>
            <w:shd w:val="clear" w:color="auto" w:fill="EAEAEA"/>
          </w:tcPr>
          <w:p>
            <w:pPr>
              <w:spacing w:after="0"/>
              <w:rPr>
                <w:sz w:val="14"/>
                <w:szCs w:val="14"/>
                <w:color w:val="auto"/>
              </w:rPr>
            </w:pPr>
          </w:p>
        </w:tc>
        <w:tc>
          <w:tcPr>
            <w:tcW w:w="360" w:type="dxa"/>
            <w:vAlign w:val="bottom"/>
            <w:tcBorders>
              <w:bottom w:val="single" w:sz="8" w:color="EAEAEA"/>
            </w:tcBorders>
            <w:vMerge w:val="continue"/>
            <w:shd w:val="clear" w:color="auto" w:fill="EAEAEA"/>
          </w:tcPr>
          <w:p>
            <w:pPr>
              <w:spacing w:after="0"/>
              <w:rPr>
                <w:sz w:val="14"/>
                <w:szCs w:val="14"/>
                <w:color w:val="auto"/>
              </w:rPr>
            </w:pPr>
          </w:p>
        </w:tc>
        <w:tc>
          <w:tcPr>
            <w:tcW w:w="580" w:type="dxa"/>
            <w:vAlign w:val="bottom"/>
            <w:tcBorders>
              <w:bottom w:val="single" w:sz="8" w:color="EAEAEA"/>
            </w:tcBorders>
            <w:gridSpan w:val="8"/>
            <w:shd w:val="clear" w:color="auto" w:fill="EAEAEA"/>
          </w:tcPr>
          <w:p>
            <w:pPr>
              <w:spacing w:after="0"/>
              <w:rPr>
                <w:sz w:val="14"/>
                <w:szCs w:val="14"/>
                <w:color w:val="auto"/>
              </w:rPr>
            </w:pPr>
          </w:p>
        </w:tc>
        <w:tc>
          <w:tcPr>
            <w:tcW w:w="420" w:type="dxa"/>
            <w:vAlign w:val="bottom"/>
            <w:tcBorders>
              <w:bottom w:val="single" w:sz="8" w:color="EAEAEA"/>
            </w:tcBorders>
            <w:gridSpan w:val="2"/>
            <w:vMerge w:val="continue"/>
            <w:shd w:val="clear" w:color="auto" w:fill="EAEAEA"/>
          </w:tcPr>
          <w:p>
            <w:pPr>
              <w:spacing w:after="0"/>
              <w:rPr>
                <w:sz w:val="14"/>
                <w:szCs w:val="14"/>
                <w:color w:val="auto"/>
              </w:rPr>
            </w:pPr>
          </w:p>
        </w:tc>
        <w:tc>
          <w:tcPr>
            <w:tcW w:w="100" w:type="dxa"/>
            <w:vAlign w:val="bottom"/>
            <w:tcBorders>
              <w:bottom w:val="single" w:sz="8" w:color="EAEAEA"/>
            </w:tcBorders>
            <w:gridSpan w:val="4"/>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5"/>
                <w:szCs w:val="15"/>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213,907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42,936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256,843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197,347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6"/>
                <w:szCs w:val="16"/>
                <w:color w:val="auto"/>
              </w:rPr>
              <w:t>232,795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184,225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19,842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6"/>
                <w:szCs w:val="16"/>
                <w:color w:val="auto"/>
              </w:rPr>
              <w:t>204,067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w w:val="99"/>
              </w:rPr>
              <w:t>and amortization</w:t>
            </w:r>
          </w:p>
        </w:tc>
        <w:tc>
          <w:tcPr>
            <w:tcW w:w="14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7"/>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00" w:type="dxa"/>
            <w:vAlign w:val="bottom"/>
            <w:gridSpan w:val="7"/>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Other segment</w:t>
            </w:r>
          </w:p>
        </w:tc>
        <w:tc>
          <w:tcPr>
            <w:tcW w:w="46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EAEAEA"/>
              </w:rPr>
              <w:t>66,607</w:t>
            </w:r>
          </w:p>
        </w:tc>
        <w:tc>
          <w:tcPr>
            <w:tcW w:w="560" w:type="dxa"/>
            <w:vAlign w:val="bottom"/>
            <w:gridSpan w:val="5"/>
            <w:shd w:val="clear" w:color="auto" w:fill="EAEAEA"/>
          </w:tcPr>
          <w:p>
            <w:pPr>
              <w:spacing w:after="0"/>
              <w:rPr>
                <w:sz w:val="17"/>
                <w:szCs w:val="17"/>
                <w:color w:val="auto"/>
              </w:rPr>
            </w:pPr>
          </w:p>
        </w:tc>
        <w:tc>
          <w:tcPr>
            <w:tcW w:w="52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2"/>
                <w:shd w:val="clear" w:color="auto" w:fill="EAEAEA"/>
              </w:rPr>
              <w:t>104,062</w:t>
            </w:r>
          </w:p>
        </w:tc>
        <w:tc>
          <w:tcPr>
            <w:tcW w:w="540" w:type="dxa"/>
            <w:vAlign w:val="bottom"/>
            <w:gridSpan w:val="5"/>
            <w:shd w:val="clear" w:color="auto" w:fill="EAEAEA"/>
          </w:tcPr>
          <w:p>
            <w:pPr>
              <w:spacing w:after="0"/>
              <w:rPr>
                <w:sz w:val="17"/>
                <w:szCs w:val="17"/>
                <w:color w:val="auto"/>
              </w:rPr>
            </w:pPr>
          </w:p>
        </w:tc>
        <w:tc>
          <w:tcPr>
            <w:tcW w:w="520" w:type="dxa"/>
            <w:vAlign w:val="bottom"/>
            <w:gridSpan w:val="4"/>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170,669</w:t>
            </w:r>
          </w:p>
        </w:tc>
        <w:tc>
          <w:tcPr>
            <w:tcW w:w="60" w:type="dxa"/>
            <w:vAlign w:val="bottom"/>
            <w:gridSpan w:val="2"/>
            <w:shd w:val="clear" w:color="auto" w:fill="EAEAEA"/>
          </w:tcPr>
          <w:p>
            <w:pPr>
              <w:spacing w:after="0"/>
              <w:rPr>
                <w:sz w:val="17"/>
                <w:szCs w:val="17"/>
                <w:color w:val="auto"/>
              </w:rPr>
            </w:pPr>
          </w:p>
        </w:tc>
        <w:tc>
          <w:tcPr>
            <w:tcW w:w="580" w:type="dxa"/>
            <w:vAlign w:val="bottom"/>
            <w:tcBorders>
              <w:left w:val="single" w:sz="8" w:color="EAEAEA"/>
            </w:tcBorders>
            <w:gridSpan w:val="4"/>
          </w:tcPr>
          <w:p>
            <w:pPr>
              <w:spacing w:after="0"/>
              <w:rPr>
                <w:sz w:val="17"/>
                <w:szCs w:val="17"/>
                <w:color w:val="auto"/>
              </w:rPr>
            </w:pPr>
          </w:p>
        </w:tc>
        <w:tc>
          <w:tcPr>
            <w:tcW w:w="46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EAEAEA"/>
              </w:rPr>
              <w:t>60,479</w:t>
            </w:r>
          </w:p>
        </w:tc>
        <w:tc>
          <w:tcPr>
            <w:tcW w:w="560" w:type="dxa"/>
            <w:vAlign w:val="bottom"/>
            <w:gridSpan w:val="5"/>
            <w:shd w:val="clear" w:color="auto" w:fill="EAEAEA"/>
          </w:tcPr>
          <w:p>
            <w:pPr>
              <w:spacing w:after="0"/>
              <w:rPr>
                <w:sz w:val="17"/>
                <w:szCs w:val="17"/>
                <w:color w:val="auto"/>
              </w:rPr>
            </w:pPr>
          </w:p>
        </w:tc>
        <w:tc>
          <w:tcPr>
            <w:tcW w:w="52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2"/>
                <w:shd w:val="clear" w:color="auto" w:fill="EAEAEA"/>
              </w:rPr>
              <w:t>102,927</w:t>
            </w:r>
          </w:p>
        </w:tc>
        <w:tc>
          <w:tcPr>
            <w:tcW w:w="540" w:type="dxa"/>
            <w:vAlign w:val="bottom"/>
            <w:gridSpan w:val="6"/>
            <w:shd w:val="clear" w:color="auto" w:fill="EAEAEA"/>
          </w:tcPr>
          <w:p>
            <w:pPr>
              <w:spacing w:after="0"/>
              <w:rPr>
                <w:sz w:val="17"/>
                <w:szCs w:val="17"/>
                <w:color w:val="auto"/>
              </w:rPr>
            </w:pPr>
          </w:p>
        </w:tc>
        <w:tc>
          <w:tcPr>
            <w:tcW w:w="520" w:type="dxa"/>
            <w:vAlign w:val="bottom"/>
            <w:gridSpan w:val="4"/>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163,406</w:t>
            </w:r>
          </w:p>
        </w:tc>
        <w:tc>
          <w:tcPr>
            <w:tcW w:w="60" w:type="dxa"/>
            <w:vAlign w:val="bottom"/>
            <w:gridSpan w:val="2"/>
            <w:shd w:val="clear" w:color="auto" w:fill="EAEAEA"/>
          </w:tcPr>
          <w:p>
            <w:pPr>
              <w:spacing w:after="0"/>
              <w:rPr>
                <w:sz w:val="17"/>
                <w:szCs w:val="17"/>
                <w:color w:val="auto"/>
              </w:rPr>
            </w:pPr>
          </w:p>
        </w:tc>
        <w:tc>
          <w:tcPr>
            <w:tcW w:w="580" w:type="dxa"/>
            <w:vAlign w:val="bottom"/>
            <w:tcBorders>
              <w:left w:val="single" w:sz="8" w:color="EAEAEA"/>
            </w:tcBorders>
            <w:gridSpan w:val="4"/>
          </w:tcPr>
          <w:p>
            <w:pPr>
              <w:spacing w:after="0"/>
              <w:rPr>
                <w:sz w:val="17"/>
                <w:szCs w:val="17"/>
                <w:color w:val="auto"/>
              </w:rPr>
            </w:pPr>
          </w:p>
        </w:tc>
        <w:tc>
          <w:tcPr>
            <w:tcW w:w="44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58,812</w:t>
            </w:r>
          </w:p>
        </w:tc>
        <w:tc>
          <w:tcPr>
            <w:tcW w:w="640" w:type="dxa"/>
            <w:vAlign w:val="bottom"/>
            <w:gridSpan w:val="5"/>
            <w:shd w:val="clear" w:color="auto" w:fill="EAEAEA"/>
          </w:tcPr>
          <w:p>
            <w:pPr>
              <w:spacing w:after="0"/>
              <w:rPr>
                <w:sz w:val="17"/>
                <w:szCs w:val="17"/>
                <w:color w:val="auto"/>
              </w:rPr>
            </w:pPr>
          </w:p>
        </w:tc>
        <w:tc>
          <w:tcPr>
            <w:tcW w:w="440" w:type="dxa"/>
            <w:vAlign w:val="bottom"/>
            <w:gridSpan w:val="2"/>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98,372</w:t>
            </w:r>
          </w:p>
        </w:tc>
        <w:tc>
          <w:tcPr>
            <w:tcW w:w="500" w:type="dxa"/>
            <w:vAlign w:val="bottom"/>
            <w:gridSpan w:val="6"/>
            <w:shd w:val="clear" w:color="auto" w:fill="EAEAEA"/>
          </w:tcPr>
          <w:p>
            <w:pPr>
              <w:spacing w:after="0"/>
              <w:rPr>
                <w:sz w:val="17"/>
                <w:szCs w:val="17"/>
                <w:color w:val="auto"/>
              </w:rPr>
            </w:pPr>
          </w:p>
        </w:tc>
        <w:tc>
          <w:tcPr>
            <w:tcW w:w="500" w:type="dxa"/>
            <w:vAlign w:val="bottom"/>
            <w:gridSpan w:val="4"/>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2"/>
                <w:shd w:val="clear" w:color="auto" w:fill="EAEAEA"/>
              </w:rPr>
              <w:t>157,184</w:t>
            </w:r>
          </w:p>
        </w:tc>
        <w:tc>
          <w:tcPr>
            <w:tcW w:w="100" w:type="dxa"/>
            <w:vAlign w:val="bottom"/>
            <w:gridSpan w:val="4"/>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EAEAEA"/>
          </w:tcPr>
          <w:p>
            <w:pPr>
              <w:spacing w:after="0"/>
              <w:rPr>
                <w:sz w:val="16"/>
                <w:szCs w:val="16"/>
                <w:color w:val="auto"/>
              </w:rPr>
            </w:pPr>
          </w:p>
        </w:tc>
        <w:tc>
          <w:tcPr>
            <w:tcW w:w="800" w:type="dxa"/>
            <w:vAlign w:val="bottom"/>
            <w:gridSpan w:val="2"/>
            <w:shd w:val="clear" w:color="auto" w:fill="EAEAEA"/>
          </w:tcPr>
          <w:p>
            <w:pPr>
              <w:spacing w:after="0" w:line="176" w:lineRule="exact"/>
              <w:rPr>
                <w:sz w:val="20"/>
                <w:szCs w:val="20"/>
                <w:color w:val="auto"/>
              </w:rPr>
            </w:pPr>
            <w:r>
              <w:rPr>
                <w:rFonts w:ascii="Times New Roman" w:cs="Times New Roman" w:eastAsia="Times New Roman" w:hAnsi="Times New Roman"/>
                <w:sz w:val="16"/>
                <w:szCs w:val="16"/>
                <w:color w:val="auto"/>
                <w:shd w:val="clear" w:color="auto" w:fill="EAEAEA"/>
              </w:rPr>
              <w:t>items (a)</w:t>
            </w:r>
          </w:p>
        </w:tc>
        <w:tc>
          <w:tcPr>
            <w:tcW w:w="300" w:type="dxa"/>
            <w:vAlign w:val="bottom"/>
            <w:shd w:val="clear" w:color="auto" w:fill="EAEAEA"/>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260" w:type="dxa"/>
            <w:vAlign w:val="bottom"/>
            <w:tcBorders>
              <w:bottom w:val="single" w:sz="8" w:color="auto"/>
            </w:tcBorders>
            <w:gridSpan w:val="2"/>
            <w:shd w:val="clear" w:color="auto" w:fill="EAEAEA"/>
          </w:tcPr>
          <w:p>
            <w:pPr>
              <w:spacing w:after="0"/>
              <w:rPr>
                <w:sz w:val="16"/>
                <w:szCs w:val="16"/>
                <w:color w:val="auto"/>
              </w:rPr>
            </w:pPr>
          </w:p>
        </w:tc>
        <w:tc>
          <w:tcPr>
            <w:tcW w:w="460" w:type="dxa"/>
            <w:vAlign w:val="bottom"/>
            <w:tcBorders>
              <w:bottom w:val="single" w:sz="8" w:color="auto"/>
            </w:tcBorders>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200" w:type="dxa"/>
            <w:vAlign w:val="bottom"/>
            <w:tcBorders>
              <w:bottom w:val="single" w:sz="8" w:color="auto"/>
            </w:tcBorders>
            <w:gridSpan w:val="2"/>
            <w:shd w:val="clear" w:color="auto" w:fill="EAEAEA"/>
          </w:tcPr>
          <w:p>
            <w:pPr>
              <w:spacing w:after="0"/>
              <w:rPr>
                <w:sz w:val="16"/>
                <w:szCs w:val="16"/>
                <w:color w:val="auto"/>
              </w:rPr>
            </w:pPr>
          </w:p>
        </w:tc>
        <w:tc>
          <w:tcPr>
            <w:tcW w:w="520" w:type="dxa"/>
            <w:vAlign w:val="bottom"/>
            <w:tcBorders>
              <w:bottom w:val="single" w:sz="8" w:color="auto"/>
            </w:tcBorders>
            <w:gridSpan w:val="2"/>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0" w:type="dxa"/>
            <w:vAlign w:val="bottom"/>
            <w:tcBorders>
              <w:bottom w:val="single" w:sz="8" w:color="auto"/>
            </w:tcBorders>
            <w:shd w:val="clear" w:color="auto" w:fill="EAEAEA"/>
          </w:tcPr>
          <w:p>
            <w:pPr>
              <w:spacing w:after="0"/>
              <w:rPr>
                <w:sz w:val="16"/>
                <w:szCs w:val="16"/>
                <w:color w:val="auto"/>
              </w:rPr>
            </w:pPr>
          </w:p>
        </w:tc>
        <w:tc>
          <w:tcPr>
            <w:tcW w:w="260" w:type="dxa"/>
            <w:vAlign w:val="bottom"/>
            <w:tcBorders>
              <w:bottom w:val="single" w:sz="8" w:color="auto"/>
            </w:tcBorders>
            <w:gridSpan w:val="2"/>
            <w:shd w:val="clear" w:color="auto" w:fill="EAEAEA"/>
          </w:tcPr>
          <w:p>
            <w:pPr>
              <w:spacing w:after="0"/>
              <w:rPr>
                <w:sz w:val="16"/>
                <w:szCs w:val="16"/>
                <w:color w:val="auto"/>
              </w:rPr>
            </w:pPr>
          </w:p>
        </w:tc>
        <w:tc>
          <w:tcPr>
            <w:tcW w:w="520" w:type="dxa"/>
            <w:vAlign w:val="bottom"/>
            <w:tcBorders>
              <w:bottom w:val="single" w:sz="8" w:color="auto"/>
            </w:tcBorders>
            <w:gridSpan w:val="4"/>
            <w:vMerge w:val="continue"/>
            <w:shd w:val="clear" w:color="auto" w:fill="EAEAEA"/>
          </w:tcPr>
          <w:p>
            <w:pPr>
              <w:spacing w:after="0"/>
              <w:rPr>
                <w:sz w:val="16"/>
                <w:szCs w:val="16"/>
                <w:color w:val="auto"/>
              </w:rPr>
            </w:pPr>
          </w:p>
        </w:tc>
        <w:tc>
          <w:tcPr>
            <w:tcW w:w="20" w:type="dxa"/>
            <w:vAlign w:val="bottom"/>
            <w:tcBorders>
              <w:bottom w:val="single" w:sz="8" w:color="auto"/>
            </w:tcBorders>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180" w:type="dxa"/>
            <w:vAlign w:val="bottom"/>
            <w:tcBorders>
              <w:left w:val="single" w:sz="8" w:color="EAEAEA"/>
            </w:tcBorders>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260" w:type="dxa"/>
            <w:vAlign w:val="bottom"/>
            <w:tcBorders>
              <w:bottom w:val="single" w:sz="8" w:color="auto"/>
            </w:tcBorders>
            <w:gridSpan w:val="2"/>
            <w:shd w:val="clear" w:color="auto" w:fill="EAEAEA"/>
          </w:tcPr>
          <w:p>
            <w:pPr>
              <w:spacing w:after="0"/>
              <w:rPr>
                <w:sz w:val="16"/>
                <w:szCs w:val="16"/>
                <w:color w:val="auto"/>
              </w:rPr>
            </w:pPr>
          </w:p>
        </w:tc>
        <w:tc>
          <w:tcPr>
            <w:tcW w:w="460" w:type="dxa"/>
            <w:vAlign w:val="bottom"/>
            <w:tcBorders>
              <w:bottom w:val="single" w:sz="8" w:color="auto"/>
            </w:tcBorders>
            <w:gridSpan w:val="2"/>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220" w:type="dxa"/>
            <w:vAlign w:val="bottom"/>
            <w:tcBorders>
              <w:bottom w:val="single" w:sz="8" w:color="auto"/>
            </w:tcBorders>
            <w:gridSpan w:val="2"/>
            <w:shd w:val="clear" w:color="auto" w:fill="EAEAEA"/>
          </w:tcPr>
          <w:p>
            <w:pPr>
              <w:spacing w:after="0"/>
              <w:rPr>
                <w:sz w:val="16"/>
                <w:szCs w:val="16"/>
                <w:color w:val="auto"/>
              </w:rPr>
            </w:pPr>
          </w:p>
        </w:tc>
        <w:tc>
          <w:tcPr>
            <w:tcW w:w="520" w:type="dxa"/>
            <w:vAlign w:val="bottom"/>
            <w:tcBorders>
              <w:bottom w:val="single" w:sz="8" w:color="auto"/>
            </w:tcBorders>
            <w:gridSpan w:val="2"/>
            <w:vMerge w:val="continue"/>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200" w:type="dxa"/>
            <w:vAlign w:val="bottom"/>
            <w:tcBorders>
              <w:bottom w:val="single" w:sz="8" w:color="auto"/>
            </w:tcBorders>
            <w:gridSpan w:val="3"/>
            <w:shd w:val="clear" w:color="auto" w:fill="EAEAEA"/>
          </w:tcPr>
          <w:p>
            <w:pPr>
              <w:spacing w:after="0"/>
              <w:rPr>
                <w:sz w:val="16"/>
                <w:szCs w:val="16"/>
                <w:color w:val="auto"/>
              </w:rPr>
            </w:pPr>
          </w:p>
        </w:tc>
        <w:tc>
          <w:tcPr>
            <w:tcW w:w="520" w:type="dxa"/>
            <w:vAlign w:val="bottom"/>
            <w:tcBorders>
              <w:bottom w:val="single" w:sz="8" w:color="auto"/>
            </w:tcBorders>
            <w:gridSpan w:val="4"/>
            <w:vMerge w:val="continue"/>
            <w:shd w:val="clear" w:color="auto" w:fill="EAEAEA"/>
          </w:tcPr>
          <w:p>
            <w:pPr>
              <w:spacing w:after="0"/>
              <w:rPr>
                <w:sz w:val="16"/>
                <w:szCs w:val="16"/>
                <w:color w:val="auto"/>
              </w:rPr>
            </w:pPr>
          </w:p>
        </w:tc>
        <w:tc>
          <w:tcPr>
            <w:tcW w:w="20" w:type="dxa"/>
            <w:vAlign w:val="bottom"/>
            <w:tcBorders>
              <w:bottom w:val="single" w:sz="8" w:color="auto"/>
            </w:tcBorders>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160" w:type="dxa"/>
            <w:vAlign w:val="bottom"/>
            <w:tcBorders>
              <w:left w:val="single" w:sz="8" w:color="EAEAEA"/>
            </w:tcBorders>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280" w:type="dxa"/>
            <w:vAlign w:val="bottom"/>
            <w:tcBorders>
              <w:bottom w:val="single" w:sz="8" w:color="auto"/>
            </w:tcBorders>
            <w:gridSpan w:val="2"/>
            <w:shd w:val="clear" w:color="auto" w:fill="EAEAEA"/>
          </w:tcPr>
          <w:p>
            <w:pPr>
              <w:spacing w:after="0"/>
              <w:rPr>
                <w:sz w:val="16"/>
                <w:szCs w:val="16"/>
                <w:color w:val="auto"/>
              </w:rPr>
            </w:pPr>
          </w:p>
        </w:tc>
        <w:tc>
          <w:tcPr>
            <w:tcW w:w="440" w:type="dxa"/>
            <w:vAlign w:val="bottom"/>
            <w:tcBorders>
              <w:bottom w:val="single" w:sz="8" w:color="auto"/>
            </w:tcBorders>
            <w:gridSpan w:val="2"/>
            <w:vMerge w:val="continue"/>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280" w:type="dxa"/>
            <w:vAlign w:val="bottom"/>
            <w:tcBorders>
              <w:bottom w:val="single" w:sz="8" w:color="auto"/>
            </w:tcBorders>
            <w:gridSpan w:val="2"/>
            <w:shd w:val="clear" w:color="auto" w:fill="EAEAEA"/>
          </w:tcPr>
          <w:p>
            <w:pPr>
              <w:spacing w:after="0"/>
              <w:rPr>
                <w:sz w:val="16"/>
                <w:szCs w:val="16"/>
                <w:color w:val="auto"/>
              </w:rPr>
            </w:pPr>
          </w:p>
        </w:tc>
        <w:tc>
          <w:tcPr>
            <w:tcW w:w="440" w:type="dxa"/>
            <w:vAlign w:val="bottom"/>
            <w:tcBorders>
              <w:bottom w:val="single" w:sz="8" w:color="auto"/>
            </w:tcBorders>
            <w:gridSpan w:val="2"/>
            <w:vMerge w:val="continue"/>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200" w:type="dxa"/>
            <w:vAlign w:val="bottom"/>
            <w:tcBorders>
              <w:bottom w:val="single" w:sz="8" w:color="auto"/>
            </w:tcBorders>
            <w:gridSpan w:val="3"/>
            <w:shd w:val="clear" w:color="auto" w:fill="EAEAEA"/>
          </w:tcPr>
          <w:p>
            <w:pPr>
              <w:spacing w:after="0"/>
              <w:rPr>
                <w:sz w:val="16"/>
                <w:szCs w:val="16"/>
                <w:color w:val="auto"/>
              </w:rPr>
            </w:pPr>
          </w:p>
        </w:tc>
        <w:tc>
          <w:tcPr>
            <w:tcW w:w="500" w:type="dxa"/>
            <w:vAlign w:val="bottom"/>
            <w:tcBorders>
              <w:bottom w:val="single" w:sz="8" w:color="auto"/>
            </w:tcBorders>
            <w:gridSpan w:val="4"/>
            <w:vMerge w:val="continue"/>
            <w:shd w:val="clear" w:color="auto" w:fill="EAEAEA"/>
          </w:tcPr>
          <w:p>
            <w:pPr>
              <w:spacing w:after="0"/>
              <w:rPr>
                <w:sz w:val="16"/>
                <w:szCs w:val="16"/>
                <w:color w:val="auto"/>
              </w:rPr>
            </w:pPr>
          </w:p>
        </w:tc>
        <w:tc>
          <w:tcPr>
            <w:tcW w:w="20" w:type="dxa"/>
            <w:vAlign w:val="bottom"/>
            <w:tcBorders>
              <w:bottom w:val="single" w:sz="8" w:color="auto"/>
            </w:tcBorders>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800" w:type="dxa"/>
            <w:vAlign w:val="bottom"/>
            <w:gridSpan w:val="78"/>
          </w:tcPr>
          <w:p>
            <w:pPr>
              <w:spacing w:after="0"/>
              <w:rPr>
                <w:sz w:val="20"/>
                <w:szCs w:val="20"/>
                <w:color w:val="auto"/>
              </w:rPr>
            </w:pPr>
            <w:r>
              <w:rPr>
                <w:rFonts w:ascii="Times New Roman" w:cs="Times New Roman" w:eastAsia="Times New Roman" w:hAnsi="Times New Roman"/>
                <w:sz w:val="16"/>
                <w:szCs w:val="16"/>
                <w:color w:val="auto"/>
              </w:rPr>
              <w:t>Segment</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6"/>
                <w:szCs w:val="16"/>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374,458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130,752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505,210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363,376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108,602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8"/>
            <w:vMerge w:val="restart"/>
          </w:tcPr>
          <w:p>
            <w:pPr>
              <w:jc w:val="right"/>
              <w:spacing w:after="0"/>
              <w:rPr>
                <w:sz w:val="20"/>
                <w:szCs w:val="20"/>
                <w:color w:val="auto"/>
              </w:rPr>
            </w:pPr>
            <w:r>
              <w:rPr>
                <w:rFonts w:ascii="Times New Roman" w:cs="Times New Roman" w:eastAsia="Times New Roman" w:hAnsi="Times New Roman"/>
                <w:sz w:val="16"/>
                <w:szCs w:val="16"/>
                <w:color w:val="auto"/>
              </w:rPr>
              <w:t>471,978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238,943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114,481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6"/>
                <w:szCs w:val="16"/>
                <w:color w:val="auto"/>
              </w:rPr>
              <w:t>353,424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vMerge w:val="continue"/>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00" w:type="dxa"/>
            <w:vAlign w:val="bottom"/>
            <w:gridSpan w:val="78"/>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360" w:type="dxa"/>
            <w:vAlign w:val="bottom"/>
            <w:gridSpan w:val="26"/>
            <w:shd w:val="clear" w:color="auto" w:fill="EAEAEA"/>
          </w:tcPr>
          <w:p>
            <w:pPr>
              <w:spacing w:after="0" w:line="165" w:lineRule="exact"/>
              <w:rPr>
                <w:sz w:val="20"/>
                <w:szCs w:val="20"/>
                <w:color w:val="auto"/>
              </w:rPr>
            </w:pPr>
            <w:r>
              <w:rPr>
                <w:rFonts w:ascii="Times New Roman" w:cs="Times New Roman" w:eastAsia="Times New Roman" w:hAnsi="Times New Roman"/>
                <w:sz w:val="16"/>
                <w:szCs w:val="16"/>
                <w:color w:val="auto"/>
                <w:shd w:val="clear" w:color="auto" w:fill="EAEAEA"/>
              </w:rPr>
              <w:t>Reconciliation of</w:t>
            </w:r>
          </w:p>
        </w:tc>
        <w:tc>
          <w:tcPr>
            <w:tcW w:w="3240" w:type="dxa"/>
            <w:vAlign w:val="bottom"/>
            <w:tcBorders>
              <w:left w:val="single" w:sz="8" w:color="EAEAEA"/>
            </w:tcBorders>
            <w:gridSpan w:val="25"/>
          </w:tcPr>
          <w:p>
            <w:pPr>
              <w:spacing w:after="0"/>
              <w:rPr>
                <w:sz w:val="14"/>
                <w:szCs w:val="14"/>
                <w:color w:val="auto"/>
              </w:rPr>
            </w:pPr>
          </w:p>
        </w:tc>
        <w:tc>
          <w:tcPr>
            <w:tcW w:w="3200" w:type="dxa"/>
            <w:vAlign w:val="bottom"/>
            <w:tcBorders>
              <w:left w:val="single" w:sz="8" w:color="EAEAEA"/>
            </w:tcBorders>
            <w:gridSpan w:val="2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gridSpan w:val="26"/>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segment operating</w:t>
            </w:r>
          </w:p>
        </w:tc>
        <w:tc>
          <w:tcPr>
            <w:tcW w:w="3240" w:type="dxa"/>
            <w:vAlign w:val="bottom"/>
            <w:tcBorders>
              <w:left w:val="single" w:sz="8" w:color="EAEAEA"/>
            </w:tcBorders>
            <w:gridSpan w:val="25"/>
          </w:tcPr>
          <w:p>
            <w:pPr>
              <w:spacing w:after="0"/>
              <w:rPr>
                <w:sz w:val="18"/>
                <w:szCs w:val="18"/>
                <w:color w:val="auto"/>
              </w:rPr>
            </w:pPr>
          </w:p>
        </w:tc>
        <w:tc>
          <w:tcPr>
            <w:tcW w:w="3200" w:type="dxa"/>
            <w:vAlign w:val="bottom"/>
            <w:tcBorders>
              <w:left w:val="single" w:sz="8" w:color="EAEAEA"/>
            </w:tcBorders>
            <w:gridSpan w:val="27"/>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360" w:type="dxa"/>
            <w:vAlign w:val="bottom"/>
            <w:tcBorders>
              <w:bottom w:val="single" w:sz="8" w:color="EAEAEA"/>
            </w:tcBorders>
            <w:gridSpan w:val="26"/>
            <w:shd w:val="clear" w:color="auto" w:fill="EAEAEA"/>
          </w:tcPr>
          <w:p>
            <w:pPr>
              <w:spacing w:after="0" w:line="152" w:lineRule="exact"/>
              <w:rPr>
                <w:sz w:val="20"/>
                <w:szCs w:val="20"/>
                <w:color w:val="auto"/>
              </w:rPr>
            </w:pPr>
            <w:r>
              <w:rPr>
                <w:rFonts w:ascii="Times New Roman" w:cs="Times New Roman" w:eastAsia="Times New Roman" w:hAnsi="Times New Roman"/>
                <w:sz w:val="16"/>
                <w:szCs w:val="16"/>
                <w:color w:val="auto"/>
                <w:w w:val="93"/>
                <w:shd w:val="clear" w:color="auto" w:fill="EAEAEA"/>
              </w:rPr>
              <w:t>income</w:t>
            </w:r>
          </w:p>
        </w:tc>
        <w:tc>
          <w:tcPr>
            <w:tcW w:w="180" w:type="dxa"/>
            <w:vAlign w:val="bottom"/>
            <w:tcBorders>
              <w:left w:val="single" w:sz="8" w:color="EAEAEA"/>
            </w:tcBorders>
          </w:tcPr>
          <w:p>
            <w:pPr>
              <w:spacing w:after="0"/>
              <w:rPr>
                <w:sz w:val="14"/>
                <w:szCs w:val="14"/>
                <w:color w:val="auto"/>
              </w:rPr>
            </w:pPr>
          </w:p>
        </w:tc>
        <w:tc>
          <w:tcPr>
            <w:tcW w:w="3060" w:type="dxa"/>
            <w:vAlign w:val="bottom"/>
            <w:tcBorders>
              <w:bottom w:val="single" w:sz="8" w:color="EAEAEA"/>
            </w:tcBorders>
            <w:gridSpan w:val="24"/>
            <w:shd w:val="clear" w:color="auto" w:fill="EAEAEA"/>
          </w:tcPr>
          <w:p>
            <w:pPr>
              <w:spacing w:after="0"/>
              <w:rPr>
                <w:sz w:val="14"/>
                <w:szCs w:val="14"/>
                <w:color w:val="auto"/>
              </w:rPr>
            </w:pPr>
          </w:p>
        </w:tc>
        <w:tc>
          <w:tcPr>
            <w:tcW w:w="160" w:type="dxa"/>
            <w:vAlign w:val="bottom"/>
            <w:tcBorders>
              <w:left w:val="single" w:sz="8" w:color="EAEAEA"/>
            </w:tcBorders>
          </w:tcPr>
          <w:p>
            <w:pPr>
              <w:spacing w:after="0"/>
              <w:rPr>
                <w:sz w:val="14"/>
                <w:szCs w:val="14"/>
                <w:color w:val="auto"/>
              </w:rPr>
            </w:pPr>
          </w:p>
        </w:tc>
        <w:tc>
          <w:tcPr>
            <w:tcW w:w="3040" w:type="dxa"/>
            <w:vAlign w:val="bottom"/>
            <w:tcBorders>
              <w:bottom w:val="single" w:sz="8" w:color="EAEAEA"/>
            </w:tcBorders>
            <w:gridSpan w:val="26"/>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0" w:type="dxa"/>
            <w:vAlign w:val="bottom"/>
            <w:gridSpan w:val="78"/>
          </w:tcPr>
          <w:p>
            <w:pPr>
              <w:ind w:left="200"/>
              <w:spacing w:after="0" w:line="182" w:lineRule="exact"/>
              <w:rPr>
                <w:sz w:val="20"/>
                <w:szCs w:val="20"/>
                <w:color w:val="auto"/>
              </w:rPr>
            </w:pPr>
            <w:r>
              <w:rPr>
                <w:rFonts w:ascii="Times New Roman" w:cs="Times New Roman" w:eastAsia="Times New Roman" w:hAnsi="Times New Roman"/>
                <w:sz w:val="16"/>
                <w:szCs w:val="16"/>
                <w:color w:val="auto"/>
              </w:rPr>
              <w:t>Unallocated</w:t>
            </w:r>
          </w:p>
        </w:tc>
        <w:tc>
          <w:tcPr>
            <w:tcW w:w="0" w:type="dxa"/>
            <w:vAlign w:val="bottom"/>
          </w:tcPr>
          <w:p>
            <w:pPr>
              <w:spacing w:after="0"/>
              <w:rPr>
                <w:sz w:val="1"/>
                <w:szCs w:val="1"/>
                <w:color w:val="auto"/>
              </w:rPr>
            </w:pPr>
          </w:p>
        </w:tc>
      </w:tr>
      <w:tr>
        <w:trPr>
          <w:trHeight w:val="200"/>
        </w:trPr>
        <w:tc>
          <w:tcPr>
            <w:tcW w:w="10800" w:type="dxa"/>
            <w:vAlign w:val="bottom"/>
            <w:gridSpan w:val="78"/>
          </w:tcPr>
          <w:p>
            <w:pPr>
              <w:ind w:left="200"/>
              <w:spacing w:after="0"/>
              <w:rPr>
                <w:sz w:val="20"/>
                <w:szCs w:val="20"/>
                <w:color w:val="auto"/>
              </w:rPr>
            </w:pPr>
            <w:r>
              <w:rPr>
                <w:rFonts w:ascii="Times New Roman" w:cs="Times New Roman" w:eastAsia="Times New Roman" w:hAnsi="Times New Roman"/>
                <w:sz w:val="16"/>
                <w:szCs w:val="16"/>
                <w:color w:val="auto"/>
              </w:rPr>
              <w:t>amounts</w:t>
            </w:r>
          </w:p>
        </w:tc>
        <w:tc>
          <w:tcPr>
            <w:tcW w:w="0" w:type="dxa"/>
            <w:vAlign w:val="bottom"/>
          </w:tcPr>
          <w:p>
            <w:pPr>
              <w:spacing w:after="0"/>
              <w:rPr>
                <w:sz w:val="1"/>
                <w:szCs w:val="1"/>
                <w:color w:val="auto"/>
              </w:rPr>
            </w:pPr>
          </w:p>
        </w:tc>
      </w:tr>
      <w:tr>
        <w:trPr>
          <w:trHeight w:val="166"/>
        </w:trPr>
        <w:tc>
          <w:tcPr>
            <w:tcW w:w="4360" w:type="dxa"/>
            <w:vAlign w:val="bottom"/>
            <w:gridSpan w:val="26"/>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General</w:t>
            </w:r>
          </w:p>
        </w:tc>
        <w:tc>
          <w:tcPr>
            <w:tcW w:w="3240" w:type="dxa"/>
            <w:vAlign w:val="bottom"/>
            <w:tcBorders>
              <w:left w:val="single" w:sz="8" w:color="EAEAEA"/>
            </w:tcBorders>
            <w:gridSpan w:val="25"/>
          </w:tcPr>
          <w:p>
            <w:pPr>
              <w:spacing w:after="0"/>
              <w:rPr>
                <w:sz w:val="14"/>
                <w:szCs w:val="14"/>
                <w:color w:val="auto"/>
              </w:rPr>
            </w:pPr>
          </w:p>
        </w:tc>
        <w:tc>
          <w:tcPr>
            <w:tcW w:w="3200" w:type="dxa"/>
            <w:vAlign w:val="bottom"/>
            <w:tcBorders>
              <w:left w:val="single" w:sz="8" w:color="EAEAEA"/>
            </w:tcBorders>
            <w:gridSpan w:val="2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gridSpan w:val="21"/>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corporate</w:t>
            </w:r>
          </w:p>
        </w:tc>
        <w:tc>
          <w:tcPr>
            <w:tcW w:w="48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3"/>
                <w:shd w:val="clear" w:color="auto" w:fill="EAEAEA"/>
              </w:rPr>
              <w:t>(13,714</w:t>
            </w:r>
          </w:p>
        </w:tc>
        <w:tc>
          <w:tcPr>
            <w:tcW w:w="20" w:type="dxa"/>
            <w:vAlign w:val="bottom"/>
            <w:shd w:val="clear" w:color="auto" w:fill="EAEAEA"/>
          </w:tcPr>
          <w:p>
            <w:pPr>
              <w:spacing w:after="0"/>
              <w:rPr>
                <w:sz w:val="18"/>
                <w:szCs w:val="18"/>
                <w:color w:val="auto"/>
              </w:rPr>
            </w:pPr>
          </w:p>
        </w:tc>
        <w:tc>
          <w:tcPr>
            <w:tcW w:w="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700" w:type="dxa"/>
            <w:vAlign w:val="bottom"/>
            <w:tcBorders>
              <w:left w:val="single" w:sz="8" w:color="EAEAEA"/>
            </w:tcBorders>
            <w:gridSpan w:val="20"/>
          </w:tcPr>
          <w:p>
            <w:pPr>
              <w:spacing w:after="0"/>
              <w:rPr>
                <w:sz w:val="18"/>
                <w:szCs w:val="18"/>
                <w:color w:val="auto"/>
              </w:rPr>
            </w:pPr>
          </w:p>
        </w:tc>
        <w:tc>
          <w:tcPr>
            <w:tcW w:w="48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9"/>
                <w:shd w:val="clear" w:color="auto" w:fill="EAEAEA"/>
              </w:rPr>
              <w:t>(18,785</w:t>
            </w:r>
          </w:p>
        </w:tc>
        <w:tc>
          <w:tcPr>
            <w:tcW w:w="20" w:type="dxa"/>
            <w:vAlign w:val="bottom"/>
            <w:shd w:val="clear" w:color="auto" w:fill="EAEAEA"/>
          </w:tcPr>
          <w:p>
            <w:pPr>
              <w:spacing w:after="0"/>
              <w:rPr>
                <w:sz w:val="18"/>
                <w:szCs w:val="18"/>
                <w:color w:val="auto"/>
              </w:rPr>
            </w:pPr>
          </w:p>
        </w:tc>
        <w:tc>
          <w:tcPr>
            <w:tcW w:w="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620" w:type="dxa"/>
            <w:vAlign w:val="bottom"/>
            <w:tcBorders>
              <w:left w:val="single" w:sz="8" w:color="EAEAEA"/>
            </w:tcBorders>
            <w:gridSpan w:val="20"/>
          </w:tcPr>
          <w:p>
            <w:pPr>
              <w:spacing w:after="0"/>
              <w:rPr>
                <w:sz w:val="18"/>
                <w:szCs w:val="18"/>
                <w:color w:val="auto"/>
              </w:rPr>
            </w:pPr>
          </w:p>
        </w:tc>
        <w:tc>
          <w:tcPr>
            <w:tcW w:w="480" w:type="dxa"/>
            <w:vAlign w:val="bottom"/>
            <w:gridSpan w:val="3"/>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3"/>
                <w:shd w:val="clear" w:color="auto" w:fill="EAEAEA"/>
              </w:rPr>
              <w:t>(23,341</w:t>
            </w:r>
          </w:p>
        </w:tc>
        <w:tc>
          <w:tcPr>
            <w:tcW w:w="40" w:type="dxa"/>
            <w:vAlign w:val="bottom"/>
            <w:gridSpan w:val="2"/>
            <w:shd w:val="clear" w:color="auto" w:fill="EAEAEA"/>
          </w:tcPr>
          <w:p>
            <w:pPr>
              <w:spacing w:after="0"/>
              <w:rPr>
                <w:sz w:val="18"/>
                <w:szCs w:val="18"/>
                <w:color w:val="auto"/>
              </w:rPr>
            </w:pPr>
          </w:p>
        </w:tc>
        <w:tc>
          <w:tcPr>
            <w:tcW w:w="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820" w:type="dxa"/>
            <w:vAlign w:val="bottom"/>
            <w:gridSpan w:val="21"/>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expense</w:t>
            </w:r>
          </w:p>
        </w:tc>
        <w:tc>
          <w:tcPr>
            <w:tcW w:w="480" w:type="dxa"/>
            <w:vAlign w:val="bottom"/>
            <w:gridSpan w:val="3"/>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vMerge w:val="continue"/>
            <w:shd w:val="clear" w:color="auto" w:fill="EAEAEA"/>
          </w:tcPr>
          <w:p>
            <w:pPr>
              <w:spacing w:after="0"/>
              <w:rPr>
                <w:sz w:val="16"/>
                <w:szCs w:val="16"/>
                <w:color w:val="auto"/>
              </w:rPr>
            </w:pPr>
          </w:p>
        </w:tc>
        <w:tc>
          <w:tcPr>
            <w:tcW w:w="2700" w:type="dxa"/>
            <w:vAlign w:val="bottom"/>
            <w:tcBorders>
              <w:left w:val="single" w:sz="8" w:color="EAEAEA"/>
            </w:tcBorders>
            <w:gridSpan w:val="20"/>
          </w:tcPr>
          <w:p>
            <w:pPr>
              <w:spacing w:after="0"/>
              <w:rPr>
                <w:sz w:val="16"/>
                <w:szCs w:val="16"/>
                <w:color w:val="auto"/>
              </w:rPr>
            </w:pPr>
          </w:p>
        </w:tc>
        <w:tc>
          <w:tcPr>
            <w:tcW w:w="480" w:type="dxa"/>
            <w:vAlign w:val="bottom"/>
            <w:gridSpan w:val="3"/>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40" w:type="dxa"/>
            <w:vAlign w:val="bottom"/>
            <w:vMerge w:val="continue"/>
            <w:shd w:val="clear" w:color="auto" w:fill="EAEAEA"/>
          </w:tcPr>
          <w:p>
            <w:pPr>
              <w:spacing w:after="0"/>
              <w:rPr>
                <w:sz w:val="16"/>
                <w:szCs w:val="16"/>
                <w:color w:val="auto"/>
              </w:rPr>
            </w:pPr>
          </w:p>
        </w:tc>
        <w:tc>
          <w:tcPr>
            <w:tcW w:w="2620" w:type="dxa"/>
            <w:vAlign w:val="bottom"/>
            <w:tcBorders>
              <w:left w:val="single" w:sz="8" w:color="EAEAEA"/>
            </w:tcBorders>
            <w:gridSpan w:val="20"/>
          </w:tcPr>
          <w:p>
            <w:pPr>
              <w:spacing w:after="0"/>
              <w:rPr>
                <w:sz w:val="16"/>
                <w:szCs w:val="16"/>
                <w:color w:val="auto"/>
              </w:rPr>
            </w:pPr>
          </w:p>
        </w:tc>
        <w:tc>
          <w:tcPr>
            <w:tcW w:w="480" w:type="dxa"/>
            <w:vAlign w:val="bottom"/>
            <w:gridSpan w:val="3"/>
            <w:vMerge w:val="continue"/>
            <w:shd w:val="clear" w:color="auto" w:fill="EAEAEA"/>
          </w:tcPr>
          <w:p>
            <w:pPr>
              <w:spacing w:after="0"/>
              <w:rPr>
                <w:sz w:val="16"/>
                <w:szCs w:val="16"/>
                <w:color w:val="auto"/>
              </w:rPr>
            </w:pPr>
          </w:p>
        </w:tc>
        <w:tc>
          <w:tcPr>
            <w:tcW w:w="40" w:type="dxa"/>
            <w:vAlign w:val="bottom"/>
            <w:gridSpan w:val="2"/>
            <w:shd w:val="clear" w:color="auto" w:fill="EAEAEA"/>
          </w:tcPr>
          <w:p>
            <w:pPr>
              <w:spacing w:after="0"/>
              <w:rPr>
                <w:sz w:val="16"/>
                <w:szCs w:val="16"/>
                <w:color w:val="auto"/>
              </w:rPr>
            </w:pPr>
          </w:p>
        </w:tc>
        <w:tc>
          <w:tcPr>
            <w:tcW w:w="40" w:type="dxa"/>
            <w:vAlign w:val="bottom"/>
            <w:vMerge w:val="continue"/>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20" w:type="dxa"/>
            <w:vAlign w:val="bottom"/>
            <w:gridSpan w:val="42"/>
          </w:tcPr>
          <w:p>
            <w:pPr>
              <w:spacing w:after="0"/>
              <w:rPr>
                <w:sz w:val="20"/>
                <w:szCs w:val="20"/>
                <w:color w:val="auto"/>
              </w:rPr>
            </w:pPr>
            <w:r>
              <w:rPr>
                <w:rFonts w:ascii="Times New Roman" w:cs="Times New Roman" w:eastAsia="Times New Roman" w:hAnsi="Times New Roman"/>
                <w:sz w:val="16"/>
                <w:szCs w:val="16"/>
                <w:color w:val="auto"/>
              </w:rPr>
              <w:t>Impairments</w:t>
            </w:r>
          </w:p>
        </w:tc>
        <w:tc>
          <w:tcPr>
            <w:tcW w:w="3980" w:type="dxa"/>
            <w:vAlign w:val="bottom"/>
            <w:gridSpan w:val="36"/>
          </w:tcPr>
          <w:p>
            <w:pPr>
              <w:jc w:val="right"/>
              <w:ind w:right="3200"/>
              <w:spacing w:after="0"/>
              <w:rPr>
                <w:sz w:val="20"/>
                <w:szCs w:val="20"/>
                <w:color w:val="auto"/>
              </w:rPr>
            </w:pPr>
            <w:r>
              <w:rPr>
                <w:rFonts w:ascii="Times New Roman" w:cs="Times New Roman" w:eastAsia="Times New Roman" w:hAnsi="Times New Roman"/>
                <w:sz w:val="16"/>
                <w:szCs w:val="16"/>
                <w:color w:val="auto"/>
              </w:rPr>
              <w:t>(56,303 )</w:t>
            </w:r>
          </w:p>
        </w:tc>
        <w:tc>
          <w:tcPr>
            <w:tcW w:w="0" w:type="dxa"/>
            <w:vAlign w:val="bottom"/>
          </w:tcPr>
          <w:p>
            <w:pPr>
              <w:spacing w:after="0"/>
              <w:rPr>
                <w:sz w:val="1"/>
                <w:szCs w:val="1"/>
                <w:color w:val="auto"/>
              </w:rPr>
            </w:pPr>
          </w:p>
        </w:tc>
      </w:tr>
      <w:tr>
        <w:trPr>
          <w:trHeight w:val="166"/>
        </w:trPr>
        <w:tc>
          <w:tcPr>
            <w:tcW w:w="4360" w:type="dxa"/>
            <w:vAlign w:val="bottom"/>
            <w:gridSpan w:val="26"/>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Gain on</w:t>
            </w:r>
          </w:p>
        </w:tc>
        <w:tc>
          <w:tcPr>
            <w:tcW w:w="3240" w:type="dxa"/>
            <w:vAlign w:val="bottom"/>
            <w:tcBorders>
              <w:left w:val="single" w:sz="8" w:color="EAEAEA"/>
            </w:tcBorders>
            <w:gridSpan w:val="25"/>
          </w:tcPr>
          <w:p>
            <w:pPr>
              <w:spacing w:after="0"/>
              <w:rPr>
                <w:sz w:val="14"/>
                <w:szCs w:val="14"/>
                <w:color w:val="auto"/>
              </w:rPr>
            </w:pPr>
          </w:p>
        </w:tc>
        <w:tc>
          <w:tcPr>
            <w:tcW w:w="3200" w:type="dxa"/>
            <w:vAlign w:val="bottom"/>
            <w:tcBorders>
              <w:left w:val="single" w:sz="8" w:color="EAEAEA"/>
            </w:tcBorders>
            <w:gridSpan w:val="2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gridSpan w:val="23"/>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disposition of</w:t>
            </w:r>
          </w:p>
        </w:tc>
        <w:tc>
          <w:tcPr>
            <w:tcW w:w="36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4"/>
                <w:shd w:val="clear" w:color="auto" w:fill="EAEAEA"/>
              </w:rPr>
              <w:t>4,788</w:t>
            </w:r>
          </w:p>
        </w:tc>
        <w:tc>
          <w:tcPr>
            <w:tcW w:w="60" w:type="dxa"/>
            <w:vAlign w:val="bottom"/>
            <w:gridSpan w:val="2"/>
            <w:shd w:val="clear" w:color="auto" w:fill="EAEAEA"/>
          </w:tcPr>
          <w:p>
            <w:pPr>
              <w:spacing w:after="0"/>
              <w:rPr>
                <w:sz w:val="18"/>
                <w:szCs w:val="18"/>
                <w:color w:val="auto"/>
              </w:rPr>
            </w:pPr>
          </w:p>
        </w:tc>
        <w:tc>
          <w:tcPr>
            <w:tcW w:w="2820" w:type="dxa"/>
            <w:vAlign w:val="bottom"/>
            <w:tcBorders>
              <w:left w:val="single" w:sz="8" w:color="EAEAEA"/>
            </w:tcBorders>
            <w:gridSpan w:val="22"/>
          </w:tcPr>
          <w:p>
            <w:pPr>
              <w:spacing w:after="0"/>
              <w:rPr>
                <w:sz w:val="18"/>
                <w:szCs w:val="18"/>
                <w:color w:val="auto"/>
              </w:rPr>
            </w:pPr>
          </w:p>
        </w:tc>
        <w:tc>
          <w:tcPr>
            <w:tcW w:w="36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8"/>
                <w:shd w:val="clear" w:color="auto" w:fill="EAEAEA"/>
              </w:rPr>
              <w:t>2,207</w:t>
            </w:r>
          </w:p>
        </w:tc>
        <w:tc>
          <w:tcPr>
            <w:tcW w:w="60" w:type="dxa"/>
            <w:vAlign w:val="bottom"/>
            <w:gridSpan w:val="2"/>
            <w:shd w:val="clear" w:color="auto" w:fill="EAEAEA"/>
          </w:tcPr>
          <w:p>
            <w:pPr>
              <w:spacing w:after="0"/>
              <w:rPr>
                <w:sz w:val="18"/>
                <w:szCs w:val="18"/>
                <w:color w:val="auto"/>
              </w:rPr>
            </w:pPr>
          </w:p>
        </w:tc>
        <w:tc>
          <w:tcPr>
            <w:tcW w:w="2760" w:type="dxa"/>
            <w:vAlign w:val="bottom"/>
            <w:tcBorders>
              <w:left w:val="single" w:sz="8" w:color="EAEAEA"/>
            </w:tcBorders>
            <w:gridSpan w:val="22"/>
          </w:tcPr>
          <w:p>
            <w:pPr>
              <w:spacing w:after="0"/>
              <w:rPr>
                <w:sz w:val="18"/>
                <w:szCs w:val="18"/>
                <w:color w:val="auto"/>
              </w:rPr>
            </w:pPr>
          </w:p>
        </w:tc>
        <w:tc>
          <w:tcPr>
            <w:tcW w:w="34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8"/>
                <w:shd w:val="clear" w:color="auto" w:fill="EAEAEA"/>
              </w:rPr>
              <w:t>5,009</w:t>
            </w:r>
          </w:p>
        </w:tc>
        <w:tc>
          <w:tcPr>
            <w:tcW w:w="100" w:type="dxa"/>
            <w:vAlign w:val="bottom"/>
            <w:gridSpan w:val="4"/>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40" w:type="dxa"/>
            <w:vAlign w:val="bottom"/>
            <w:tcBorders>
              <w:bottom w:val="single" w:sz="8" w:color="EAEAEA"/>
            </w:tcBorders>
            <w:gridSpan w:val="23"/>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assets</w:t>
            </w:r>
          </w:p>
        </w:tc>
        <w:tc>
          <w:tcPr>
            <w:tcW w:w="360" w:type="dxa"/>
            <w:vAlign w:val="bottom"/>
            <w:tcBorders>
              <w:bottom w:val="single" w:sz="8" w:color="EAEAEA"/>
            </w:tcBorders>
            <w:vMerge w:val="continue"/>
            <w:shd w:val="clear" w:color="auto" w:fill="EAEAEA"/>
          </w:tcPr>
          <w:p>
            <w:pPr>
              <w:spacing w:after="0"/>
              <w:rPr>
                <w:sz w:val="16"/>
                <w:szCs w:val="16"/>
                <w:color w:val="auto"/>
              </w:rPr>
            </w:pPr>
          </w:p>
        </w:tc>
        <w:tc>
          <w:tcPr>
            <w:tcW w:w="60" w:type="dxa"/>
            <w:vAlign w:val="bottom"/>
            <w:tcBorders>
              <w:bottom w:val="single" w:sz="8" w:color="EAEAEA"/>
            </w:tcBorders>
            <w:gridSpan w:val="2"/>
            <w:shd w:val="clear" w:color="auto" w:fill="EAEAEA"/>
          </w:tcPr>
          <w:p>
            <w:pPr>
              <w:spacing w:after="0"/>
              <w:rPr>
                <w:sz w:val="16"/>
                <w:szCs w:val="16"/>
                <w:color w:val="auto"/>
              </w:rPr>
            </w:pPr>
          </w:p>
        </w:tc>
        <w:tc>
          <w:tcPr>
            <w:tcW w:w="180" w:type="dxa"/>
            <w:vAlign w:val="bottom"/>
            <w:tcBorders>
              <w:left w:val="single" w:sz="8" w:color="EAEAEA"/>
            </w:tcBorders>
          </w:tcPr>
          <w:p>
            <w:pPr>
              <w:spacing w:after="0"/>
              <w:rPr>
                <w:sz w:val="16"/>
                <w:szCs w:val="16"/>
                <w:color w:val="auto"/>
              </w:rPr>
            </w:pPr>
          </w:p>
        </w:tc>
        <w:tc>
          <w:tcPr>
            <w:tcW w:w="2640" w:type="dxa"/>
            <w:vAlign w:val="bottom"/>
            <w:tcBorders>
              <w:bottom w:val="single" w:sz="8" w:color="EAEAEA"/>
            </w:tcBorders>
            <w:gridSpan w:val="21"/>
            <w:shd w:val="clear" w:color="auto" w:fill="EAEAEA"/>
          </w:tcPr>
          <w:p>
            <w:pPr>
              <w:spacing w:after="0"/>
              <w:rPr>
                <w:sz w:val="16"/>
                <w:szCs w:val="16"/>
                <w:color w:val="auto"/>
              </w:rPr>
            </w:pPr>
          </w:p>
        </w:tc>
        <w:tc>
          <w:tcPr>
            <w:tcW w:w="360" w:type="dxa"/>
            <w:vAlign w:val="bottom"/>
            <w:tcBorders>
              <w:bottom w:val="single" w:sz="8" w:color="EAEAEA"/>
            </w:tcBorders>
            <w:vMerge w:val="continue"/>
            <w:shd w:val="clear" w:color="auto" w:fill="EAEAEA"/>
          </w:tcPr>
          <w:p>
            <w:pPr>
              <w:spacing w:after="0"/>
              <w:rPr>
                <w:sz w:val="16"/>
                <w:szCs w:val="16"/>
                <w:color w:val="auto"/>
              </w:rPr>
            </w:pPr>
          </w:p>
        </w:tc>
        <w:tc>
          <w:tcPr>
            <w:tcW w:w="60" w:type="dxa"/>
            <w:vAlign w:val="bottom"/>
            <w:tcBorders>
              <w:bottom w:val="single" w:sz="8" w:color="EAEAEA"/>
            </w:tcBorders>
            <w:gridSpan w:val="2"/>
            <w:shd w:val="clear" w:color="auto" w:fill="EAEAEA"/>
          </w:tcPr>
          <w:p>
            <w:pPr>
              <w:spacing w:after="0"/>
              <w:rPr>
                <w:sz w:val="16"/>
                <w:szCs w:val="16"/>
                <w:color w:val="auto"/>
              </w:rPr>
            </w:pPr>
          </w:p>
        </w:tc>
        <w:tc>
          <w:tcPr>
            <w:tcW w:w="160" w:type="dxa"/>
            <w:vAlign w:val="bottom"/>
            <w:tcBorders>
              <w:left w:val="single" w:sz="8" w:color="EAEAEA"/>
            </w:tcBorders>
          </w:tcPr>
          <w:p>
            <w:pPr>
              <w:spacing w:after="0"/>
              <w:rPr>
                <w:sz w:val="16"/>
                <w:szCs w:val="16"/>
                <w:color w:val="auto"/>
              </w:rPr>
            </w:pPr>
          </w:p>
        </w:tc>
        <w:tc>
          <w:tcPr>
            <w:tcW w:w="2600" w:type="dxa"/>
            <w:vAlign w:val="bottom"/>
            <w:tcBorders>
              <w:bottom w:val="single" w:sz="8" w:color="EAEAEA"/>
            </w:tcBorders>
            <w:gridSpan w:val="21"/>
            <w:shd w:val="clear" w:color="auto" w:fill="EAEAEA"/>
          </w:tcPr>
          <w:p>
            <w:pPr>
              <w:spacing w:after="0"/>
              <w:rPr>
                <w:sz w:val="16"/>
                <w:szCs w:val="16"/>
                <w:color w:val="auto"/>
              </w:rPr>
            </w:pPr>
          </w:p>
        </w:tc>
        <w:tc>
          <w:tcPr>
            <w:tcW w:w="340" w:type="dxa"/>
            <w:vAlign w:val="bottom"/>
            <w:tcBorders>
              <w:bottom w:val="single" w:sz="8" w:color="EAEAEA"/>
            </w:tcBorders>
            <w:vMerge w:val="continue"/>
            <w:shd w:val="clear" w:color="auto" w:fill="EAEAEA"/>
          </w:tcPr>
          <w:p>
            <w:pPr>
              <w:spacing w:after="0"/>
              <w:rPr>
                <w:sz w:val="16"/>
                <w:szCs w:val="16"/>
                <w:color w:val="auto"/>
              </w:rPr>
            </w:pPr>
          </w:p>
        </w:tc>
        <w:tc>
          <w:tcPr>
            <w:tcW w:w="100" w:type="dxa"/>
            <w:vAlign w:val="bottom"/>
            <w:tcBorders>
              <w:bottom w:val="single" w:sz="8" w:color="EAEAEA"/>
            </w:tcBorders>
            <w:gridSpan w:val="4"/>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Operating</w:t>
            </w:r>
          </w:p>
        </w:tc>
        <w:tc>
          <w:tcPr>
            <w:tcW w:w="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7"/>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496,284</w:t>
            </w:r>
          </w:p>
        </w:tc>
        <w:tc>
          <w:tcPr>
            <w:tcW w:w="2360" w:type="dxa"/>
            <w:vAlign w:val="bottom"/>
            <w:gridSpan w:val="16"/>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7"/>
            <w:vMerge w:val="restart"/>
          </w:tcPr>
          <w:p>
            <w:pPr>
              <w:jc w:val="right"/>
              <w:spacing w:after="0"/>
              <w:rPr>
                <w:sz w:val="20"/>
                <w:szCs w:val="20"/>
                <w:color w:val="auto"/>
              </w:rPr>
            </w:pPr>
            <w:r>
              <w:rPr>
                <w:rFonts w:ascii="Times New Roman" w:cs="Times New Roman" w:eastAsia="Times New Roman" w:hAnsi="Times New Roman"/>
                <w:sz w:val="16"/>
                <w:szCs w:val="16"/>
                <w:color w:val="auto"/>
              </w:rPr>
              <w:t>399,097</w:t>
            </w:r>
          </w:p>
        </w:tc>
        <w:tc>
          <w:tcPr>
            <w:tcW w:w="20" w:type="dxa"/>
            <w:vAlign w:val="bottom"/>
            <w:tcBorders>
              <w:top w:val="single" w:sz="8" w:color="auto"/>
            </w:tcBorders>
          </w:tcPr>
          <w:p>
            <w:pPr>
              <w:spacing w:after="0"/>
              <w:rPr>
                <w:sz w:val="15"/>
                <w:szCs w:val="15"/>
                <w:color w:val="auto"/>
              </w:rPr>
            </w:pPr>
          </w:p>
        </w:tc>
        <w:tc>
          <w:tcPr>
            <w:tcW w:w="2360" w:type="dxa"/>
            <w:vAlign w:val="bottom"/>
            <w:gridSpan w:val="16"/>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7"/>
            <w:vMerge w:val="restart"/>
          </w:tcPr>
          <w:p>
            <w:pPr>
              <w:jc w:val="right"/>
              <w:spacing w:after="0"/>
              <w:rPr>
                <w:sz w:val="20"/>
                <w:szCs w:val="20"/>
                <w:color w:val="auto"/>
              </w:rPr>
            </w:pPr>
            <w:r>
              <w:rPr>
                <w:rFonts w:ascii="Times New Roman" w:cs="Times New Roman" w:eastAsia="Times New Roman" w:hAnsi="Times New Roman"/>
                <w:sz w:val="16"/>
                <w:szCs w:val="16"/>
                <w:color w:val="auto"/>
              </w:rPr>
              <w:t>335,092</w:t>
            </w:r>
          </w:p>
        </w:tc>
        <w:tc>
          <w:tcPr>
            <w:tcW w:w="20" w:type="dxa"/>
            <w:vAlign w:val="bottom"/>
            <w:tcBorders>
              <w:top w:val="single" w:sz="8" w:color="auto"/>
            </w:tcBorders>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income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7"/>
            <w:vMerge w:val="continue"/>
          </w:tcPr>
          <w:p>
            <w:pPr>
              <w:spacing w:after="0"/>
              <w:rPr>
                <w:sz w:val="17"/>
                <w:szCs w:val="17"/>
                <w:color w:val="auto"/>
              </w:rPr>
            </w:pPr>
          </w:p>
        </w:tc>
        <w:tc>
          <w:tcPr>
            <w:tcW w:w="2500" w:type="dxa"/>
            <w:vAlign w:val="bottom"/>
            <w:gridSpan w:val="17"/>
          </w:tcPr>
          <w:p>
            <w:pPr>
              <w:jc w:val="right"/>
              <w:ind w:right="24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7"/>
            <w:vMerge w:val="continue"/>
          </w:tcPr>
          <w:p>
            <w:pPr>
              <w:spacing w:after="0"/>
              <w:rPr>
                <w:sz w:val="17"/>
                <w:szCs w:val="17"/>
                <w:color w:val="auto"/>
              </w:rPr>
            </w:pPr>
          </w:p>
        </w:tc>
        <w:tc>
          <w:tcPr>
            <w:tcW w:w="2460" w:type="dxa"/>
            <w:vAlign w:val="bottom"/>
            <w:gridSpan w:val="18"/>
          </w:tcPr>
          <w:p>
            <w:pPr>
              <w:jc w:val="right"/>
              <w:ind w:right="23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7"/>
            <w:vMerge w:val="continue"/>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EAEAEA"/>
            </w:tcBorders>
            <w:gridSpan w:val="21"/>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Other income</w:t>
            </w:r>
          </w:p>
        </w:tc>
        <w:tc>
          <w:tcPr>
            <w:tcW w:w="540" w:type="dxa"/>
            <w:vAlign w:val="bottom"/>
            <w:tcBorders>
              <w:bottom w:val="single" w:sz="8" w:color="EAEAEA"/>
            </w:tcBorders>
            <w:gridSpan w:val="5"/>
            <w:shd w:val="clear" w:color="auto" w:fill="EAEAEA"/>
          </w:tcPr>
          <w:p>
            <w:pPr>
              <w:jc w:val="right"/>
              <w:ind w:right="7"/>
              <w:spacing w:after="0" w:line="178" w:lineRule="exact"/>
              <w:rPr>
                <w:sz w:val="20"/>
                <w:szCs w:val="20"/>
                <w:color w:val="auto"/>
              </w:rPr>
            </w:pPr>
            <w:r>
              <w:rPr>
                <w:rFonts w:ascii="Times New Roman" w:cs="Times New Roman" w:eastAsia="Times New Roman" w:hAnsi="Times New Roman"/>
                <w:sz w:val="16"/>
                <w:szCs w:val="16"/>
                <w:color w:val="auto"/>
                <w:shd w:val="clear" w:color="auto" w:fill="EAEAEA"/>
              </w:rPr>
              <w:t>21,455</w:t>
            </w:r>
          </w:p>
        </w:tc>
        <w:tc>
          <w:tcPr>
            <w:tcW w:w="180" w:type="dxa"/>
            <w:vAlign w:val="bottom"/>
            <w:tcBorders>
              <w:left w:val="single" w:sz="8" w:color="EAEAEA"/>
            </w:tcBorders>
          </w:tcPr>
          <w:p>
            <w:pPr>
              <w:spacing w:after="0"/>
              <w:rPr>
                <w:sz w:val="16"/>
                <w:szCs w:val="16"/>
                <w:color w:val="auto"/>
              </w:rPr>
            </w:pPr>
          </w:p>
        </w:tc>
        <w:tc>
          <w:tcPr>
            <w:tcW w:w="3060" w:type="dxa"/>
            <w:vAlign w:val="bottom"/>
            <w:tcBorders>
              <w:bottom w:val="single" w:sz="8" w:color="EAEAEA"/>
            </w:tcBorders>
            <w:gridSpan w:val="24"/>
            <w:shd w:val="clear" w:color="auto" w:fill="EAEAEA"/>
          </w:tcPr>
          <w:p>
            <w:pPr>
              <w:jc w:val="right"/>
              <w:ind w:right="3020"/>
              <w:spacing w:after="0"/>
              <w:rPr>
                <w:sz w:val="20"/>
                <w:szCs w:val="20"/>
                <w:color w:val="auto"/>
              </w:rPr>
            </w:pPr>
            <w:r>
              <w:rPr>
                <w:rFonts w:ascii="Times New Roman" w:cs="Times New Roman" w:eastAsia="Times New Roman" w:hAnsi="Times New Roman"/>
                <w:sz w:val="16"/>
                <w:szCs w:val="16"/>
                <w:color w:val="auto"/>
                <w:shd w:val="clear" w:color="auto" w:fill="EAEAEA"/>
              </w:rPr>
              <w:t>12,795</w:t>
            </w:r>
          </w:p>
        </w:tc>
        <w:tc>
          <w:tcPr>
            <w:tcW w:w="160" w:type="dxa"/>
            <w:vAlign w:val="bottom"/>
            <w:tcBorders>
              <w:left w:val="single" w:sz="8" w:color="EAEAEA"/>
            </w:tcBorders>
          </w:tcPr>
          <w:p>
            <w:pPr>
              <w:spacing w:after="0"/>
              <w:rPr>
                <w:sz w:val="16"/>
                <w:szCs w:val="16"/>
                <w:color w:val="auto"/>
              </w:rPr>
            </w:pPr>
          </w:p>
        </w:tc>
        <w:tc>
          <w:tcPr>
            <w:tcW w:w="3040" w:type="dxa"/>
            <w:vAlign w:val="bottom"/>
            <w:tcBorders>
              <w:bottom w:val="single" w:sz="8" w:color="EAEAEA"/>
            </w:tcBorders>
            <w:gridSpan w:val="26"/>
            <w:shd w:val="clear" w:color="auto" w:fill="EAEAEA"/>
          </w:tcPr>
          <w:p>
            <w:pPr>
              <w:jc w:val="right"/>
              <w:ind w:right="3040"/>
              <w:spacing w:after="0"/>
              <w:rPr>
                <w:sz w:val="20"/>
                <w:szCs w:val="20"/>
                <w:color w:val="auto"/>
              </w:rPr>
            </w:pPr>
            <w:r>
              <w:rPr>
                <w:rFonts w:ascii="Times New Roman" w:cs="Times New Roman" w:eastAsia="Times New Roman" w:hAnsi="Times New Roman"/>
                <w:sz w:val="16"/>
                <w:szCs w:val="16"/>
                <w:color w:val="auto"/>
                <w:shd w:val="clear" w:color="auto" w:fill="EAEAEA"/>
              </w:rPr>
              <w:t>11,041</w:t>
            </w:r>
          </w:p>
        </w:tc>
        <w:tc>
          <w:tcPr>
            <w:tcW w:w="0" w:type="dxa"/>
            <w:vAlign w:val="bottom"/>
          </w:tcPr>
          <w:p>
            <w:pPr>
              <w:spacing w:after="0"/>
              <w:rPr>
                <w:sz w:val="1"/>
                <w:szCs w:val="1"/>
                <w:color w:val="auto"/>
              </w:rPr>
            </w:pPr>
          </w:p>
        </w:tc>
      </w:tr>
      <w:tr>
        <w:trPr>
          <w:trHeight w:val="64"/>
        </w:trPr>
        <w:tc>
          <w:tcPr>
            <w:tcW w:w="200" w:type="dxa"/>
            <w:vAlign w:val="bottom"/>
          </w:tcPr>
          <w:p>
            <w:pPr>
              <w:spacing w:after="0"/>
              <w:rPr>
                <w:sz w:val="5"/>
                <w:szCs w:val="5"/>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20" w:type="dxa"/>
            <w:vAlign w:val="bottom"/>
            <w:gridSpan w:val="14"/>
          </w:tcPr>
          <w:p>
            <w:pPr>
              <w:spacing w:after="0"/>
              <w:rPr>
                <w:sz w:val="5"/>
                <w:szCs w:val="5"/>
                <w:color w:val="auto"/>
              </w:rPr>
            </w:pPr>
          </w:p>
        </w:tc>
        <w:tc>
          <w:tcPr>
            <w:tcW w:w="260" w:type="dxa"/>
            <w:vAlign w:val="bottom"/>
            <w:gridSpan w:val="2"/>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80" w:type="dxa"/>
            <w:vAlign w:val="bottom"/>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2500" w:type="dxa"/>
            <w:vAlign w:val="bottom"/>
            <w:gridSpan w:val="17"/>
          </w:tcPr>
          <w:p>
            <w:pPr>
              <w:spacing w:after="0"/>
              <w:rPr>
                <w:sz w:val="5"/>
                <w:szCs w:val="5"/>
                <w:color w:val="auto"/>
              </w:rPr>
            </w:pPr>
          </w:p>
        </w:tc>
        <w:tc>
          <w:tcPr>
            <w:tcW w:w="200" w:type="dxa"/>
            <w:vAlign w:val="bottom"/>
            <w:gridSpan w:val="3"/>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80" w:type="dxa"/>
            <w:vAlign w:val="bottom"/>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2440" w:type="dxa"/>
            <w:vAlign w:val="bottom"/>
            <w:gridSpan w:val="17"/>
          </w:tcPr>
          <w:p>
            <w:pPr>
              <w:spacing w:after="0"/>
              <w:rPr>
                <w:sz w:val="5"/>
                <w:szCs w:val="5"/>
                <w:color w:val="auto"/>
              </w:rPr>
            </w:pPr>
          </w:p>
        </w:tc>
        <w:tc>
          <w:tcPr>
            <w:tcW w:w="200" w:type="dxa"/>
            <w:vAlign w:val="bottom"/>
            <w:gridSpan w:val="3"/>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80" w:type="dxa"/>
            <w:vAlign w:val="bottom"/>
            <w:gridSpan w:val="3"/>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220" w:type="dxa"/>
            <w:vAlign w:val="bottom"/>
            <w:gridSpan w:val="14"/>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6"/>
                <w:szCs w:val="16"/>
                <w:color w:val="auto"/>
                <w:highlight w:val="white"/>
                <w:w w:val="93"/>
              </w:rPr>
              <w:t>(46,327</w:t>
            </w:r>
          </w:p>
        </w:tc>
        <w:tc>
          <w:tcPr>
            <w:tcW w:w="20" w:type="dxa"/>
            <w:vAlign w:val="bottom"/>
            <w:vMerge w:val="continue"/>
          </w:tcPr>
          <w:p>
            <w:pPr>
              <w:spacing w:after="0"/>
              <w:rPr>
                <w:sz w:val="12"/>
                <w:szCs w:val="12"/>
                <w:color w:val="auto"/>
              </w:rPr>
            </w:pPr>
          </w:p>
        </w:tc>
        <w:tc>
          <w:tcPr>
            <w:tcW w:w="2500" w:type="dxa"/>
            <w:vAlign w:val="bottom"/>
            <w:gridSpan w:val="17"/>
          </w:tcPr>
          <w:p>
            <w:pPr>
              <w:jc w:val="right"/>
              <w:ind w:right="2380"/>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6"/>
                <w:szCs w:val="16"/>
                <w:color w:val="auto"/>
                <w:highlight w:val="white"/>
                <w:w w:val="93"/>
              </w:rPr>
              <w:t>(49,129</w:t>
            </w:r>
          </w:p>
        </w:tc>
        <w:tc>
          <w:tcPr>
            <w:tcW w:w="20" w:type="dxa"/>
            <w:vAlign w:val="bottom"/>
            <w:vMerge w:val="continue"/>
          </w:tcPr>
          <w:p>
            <w:pPr>
              <w:spacing w:after="0"/>
              <w:rPr>
                <w:sz w:val="12"/>
                <w:szCs w:val="12"/>
                <w:color w:val="auto"/>
              </w:rPr>
            </w:pPr>
          </w:p>
        </w:tc>
        <w:tc>
          <w:tcPr>
            <w:tcW w:w="2440" w:type="dxa"/>
            <w:vAlign w:val="bottom"/>
            <w:gridSpan w:val="17"/>
          </w:tcPr>
          <w:p>
            <w:pPr>
              <w:jc w:val="right"/>
              <w:ind w:right="2320"/>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6"/>
                <w:szCs w:val="16"/>
                <w:color w:val="auto"/>
                <w:highlight w:val="white"/>
                <w:w w:val="93"/>
              </w:rPr>
              <w:t>(52,008</w:t>
            </w:r>
          </w:p>
        </w:tc>
        <w:tc>
          <w:tcPr>
            <w:tcW w:w="40" w:type="dxa"/>
            <w:vAlign w:val="bottom"/>
            <w:gridSpan w:val="2"/>
            <w:vMerge w:val="continue"/>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60" w:type="dxa"/>
            <w:vAlign w:val="bottom"/>
            <w:tcBorders>
              <w:top w:val="single" w:sz="8" w:color="EAEAEA"/>
            </w:tcBorders>
            <w:gridSpan w:val="17"/>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Earnings</w:t>
            </w:r>
          </w:p>
        </w:tc>
        <w:tc>
          <w:tcPr>
            <w:tcW w:w="860" w:type="dxa"/>
            <w:vAlign w:val="bottom"/>
            <w:tcBorders>
              <w:top w:val="single" w:sz="8" w:color="auto"/>
            </w:tcBorders>
            <w:gridSpan w:val="8"/>
            <w:shd w:val="clear" w:color="auto" w:fill="EAEAEA"/>
          </w:tcPr>
          <w:p>
            <w:pPr>
              <w:spacing w:after="0"/>
              <w:rPr>
                <w:sz w:val="16"/>
                <w:szCs w:val="16"/>
                <w:color w:val="auto"/>
              </w:rPr>
            </w:pPr>
          </w:p>
        </w:tc>
        <w:tc>
          <w:tcPr>
            <w:tcW w:w="40" w:type="dxa"/>
            <w:vAlign w:val="bottom"/>
            <w:tcBorders>
              <w:top w:val="single" w:sz="8" w:color="EAEAEA"/>
            </w:tcBorders>
            <w:shd w:val="clear" w:color="auto" w:fill="EAEAEA"/>
          </w:tcPr>
          <w:p>
            <w:pPr>
              <w:spacing w:after="0"/>
              <w:rPr>
                <w:sz w:val="16"/>
                <w:szCs w:val="16"/>
                <w:color w:val="auto"/>
              </w:rPr>
            </w:pPr>
          </w:p>
        </w:tc>
        <w:tc>
          <w:tcPr>
            <w:tcW w:w="180" w:type="dxa"/>
            <w:vAlign w:val="bottom"/>
            <w:tcBorders>
              <w:left w:val="single" w:sz="8" w:color="EAEAEA"/>
            </w:tcBorders>
          </w:tcPr>
          <w:p>
            <w:pPr>
              <w:spacing w:after="0"/>
              <w:rPr>
                <w:sz w:val="16"/>
                <w:szCs w:val="16"/>
                <w:color w:val="auto"/>
              </w:rPr>
            </w:pPr>
          </w:p>
        </w:tc>
        <w:tc>
          <w:tcPr>
            <w:tcW w:w="2140" w:type="dxa"/>
            <w:vAlign w:val="bottom"/>
            <w:tcBorders>
              <w:top w:val="single" w:sz="8" w:color="EAEAEA"/>
            </w:tcBorders>
            <w:gridSpan w:val="14"/>
            <w:shd w:val="clear" w:color="auto" w:fill="EAEAEA"/>
          </w:tcPr>
          <w:p>
            <w:pPr>
              <w:spacing w:after="0"/>
              <w:rPr>
                <w:sz w:val="16"/>
                <w:szCs w:val="16"/>
                <w:color w:val="auto"/>
              </w:rPr>
            </w:pPr>
          </w:p>
        </w:tc>
        <w:tc>
          <w:tcPr>
            <w:tcW w:w="880" w:type="dxa"/>
            <w:vAlign w:val="bottom"/>
            <w:tcBorders>
              <w:top w:val="single" w:sz="8" w:color="auto"/>
            </w:tcBorders>
            <w:gridSpan w:val="9"/>
            <w:shd w:val="clear" w:color="auto" w:fill="EAEAEA"/>
          </w:tcPr>
          <w:p>
            <w:pPr>
              <w:spacing w:after="0"/>
              <w:rPr>
                <w:sz w:val="16"/>
                <w:szCs w:val="16"/>
                <w:color w:val="auto"/>
              </w:rPr>
            </w:pPr>
          </w:p>
        </w:tc>
        <w:tc>
          <w:tcPr>
            <w:tcW w:w="40" w:type="dxa"/>
            <w:vAlign w:val="bottom"/>
            <w:tcBorders>
              <w:top w:val="single" w:sz="8" w:color="EAEAEA"/>
            </w:tcBorders>
            <w:shd w:val="clear" w:color="auto" w:fill="EAEAEA"/>
          </w:tcPr>
          <w:p>
            <w:pPr>
              <w:spacing w:after="0"/>
              <w:rPr>
                <w:sz w:val="16"/>
                <w:szCs w:val="16"/>
                <w:color w:val="auto"/>
              </w:rPr>
            </w:pPr>
          </w:p>
        </w:tc>
        <w:tc>
          <w:tcPr>
            <w:tcW w:w="160" w:type="dxa"/>
            <w:vAlign w:val="bottom"/>
            <w:tcBorders>
              <w:left w:val="single" w:sz="8" w:color="EAEAEA"/>
            </w:tcBorders>
          </w:tcPr>
          <w:p>
            <w:pPr>
              <w:spacing w:after="0"/>
              <w:rPr>
                <w:sz w:val="16"/>
                <w:szCs w:val="16"/>
                <w:color w:val="auto"/>
              </w:rPr>
            </w:pPr>
          </w:p>
        </w:tc>
        <w:tc>
          <w:tcPr>
            <w:tcW w:w="2160" w:type="dxa"/>
            <w:vAlign w:val="bottom"/>
            <w:tcBorders>
              <w:top w:val="single" w:sz="8" w:color="EAEAEA"/>
            </w:tcBorders>
            <w:gridSpan w:val="14"/>
            <w:shd w:val="clear" w:color="auto" w:fill="EAEAEA"/>
          </w:tcPr>
          <w:p>
            <w:pPr>
              <w:spacing w:after="0"/>
              <w:rPr>
                <w:sz w:val="16"/>
                <w:szCs w:val="16"/>
                <w:color w:val="auto"/>
              </w:rPr>
            </w:pPr>
          </w:p>
        </w:tc>
        <w:tc>
          <w:tcPr>
            <w:tcW w:w="800" w:type="dxa"/>
            <w:vAlign w:val="bottom"/>
            <w:tcBorders>
              <w:top w:val="single" w:sz="8" w:color="auto"/>
            </w:tcBorders>
            <w:gridSpan w:val="9"/>
            <w:shd w:val="clear" w:color="auto" w:fill="EAEAEA"/>
          </w:tcPr>
          <w:p>
            <w:pPr>
              <w:spacing w:after="0"/>
              <w:rPr>
                <w:sz w:val="16"/>
                <w:szCs w:val="16"/>
                <w:color w:val="auto"/>
              </w:rPr>
            </w:pPr>
          </w:p>
        </w:tc>
        <w:tc>
          <w:tcPr>
            <w:tcW w:w="80" w:type="dxa"/>
            <w:vAlign w:val="bottom"/>
            <w:tcBorders>
              <w:top w:val="single" w:sz="8" w:color="EAEAEA"/>
            </w:tcBorders>
            <w:gridSpan w:val="3"/>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gridSpan w:val="20"/>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before taxes</w:t>
            </w:r>
          </w:p>
        </w:tc>
        <w:tc>
          <w:tcPr>
            <w:tcW w:w="520" w:type="dxa"/>
            <w:vAlign w:val="bottom"/>
            <w:gridSpan w:val="4"/>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EAEAEA"/>
              </w:rPr>
              <w:t>471,412</w:t>
            </w:r>
          </w:p>
        </w:tc>
        <w:tc>
          <w:tcPr>
            <w:tcW w:w="60" w:type="dxa"/>
            <w:vAlign w:val="bottom"/>
            <w:gridSpan w:val="2"/>
            <w:shd w:val="clear" w:color="auto" w:fill="EAEAEA"/>
          </w:tcPr>
          <w:p>
            <w:pPr>
              <w:spacing w:after="0"/>
              <w:rPr>
                <w:sz w:val="13"/>
                <w:szCs w:val="13"/>
                <w:color w:val="auto"/>
              </w:rPr>
            </w:pPr>
          </w:p>
        </w:tc>
        <w:tc>
          <w:tcPr>
            <w:tcW w:w="2660" w:type="dxa"/>
            <w:vAlign w:val="bottom"/>
            <w:tcBorders>
              <w:left w:val="single" w:sz="8" w:color="EAEAEA"/>
            </w:tcBorders>
            <w:gridSpan w:val="19"/>
          </w:tcPr>
          <w:p>
            <w:pPr>
              <w:spacing w:after="0"/>
              <w:rPr>
                <w:sz w:val="13"/>
                <w:szCs w:val="13"/>
                <w:color w:val="auto"/>
              </w:rPr>
            </w:pPr>
          </w:p>
        </w:tc>
        <w:tc>
          <w:tcPr>
            <w:tcW w:w="520" w:type="dxa"/>
            <w:vAlign w:val="bottom"/>
            <w:gridSpan w:val="4"/>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2"/>
                <w:shd w:val="clear" w:color="auto" w:fill="EAEAEA"/>
              </w:rPr>
              <w:t>362,763</w:t>
            </w:r>
          </w:p>
        </w:tc>
        <w:tc>
          <w:tcPr>
            <w:tcW w:w="60" w:type="dxa"/>
            <w:vAlign w:val="bottom"/>
            <w:gridSpan w:val="2"/>
            <w:shd w:val="clear" w:color="auto" w:fill="EAEAEA"/>
          </w:tcPr>
          <w:p>
            <w:pPr>
              <w:spacing w:after="0"/>
              <w:rPr>
                <w:sz w:val="13"/>
                <w:szCs w:val="13"/>
                <w:color w:val="auto"/>
              </w:rPr>
            </w:pPr>
          </w:p>
        </w:tc>
        <w:tc>
          <w:tcPr>
            <w:tcW w:w="2600" w:type="dxa"/>
            <w:vAlign w:val="bottom"/>
            <w:tcBorders>
              <w:left w:val="single" w:sz="8" w:color="EAEAEA"/>
            </w:tcBorders>
            <w:gridSpan w:val="19"/>
          </w:tcPr>
          <w:p>
            <w:pPr>
              <w:spacing w:after="0"/>
              <w:rPr>
                <w:sz w:val="13"/>
                <w:szCs w:val="13"/>
                <w:color w:val="auto"/>
              </w:rPr>
            </w:pPr>
          </w:p>
        </w:tc>
        <w:tc>
          <w:tcPr>
            <w:tcW w:w="500" w:type="dxa"/>
            <w:vAlign w:val="bottom"/>
            <w:gridSpan w:val="4"/>
            <w:vMerge w:val="restart"/>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2"/>
                <w:shd w:val="clear" w:color="auto" w:fill="EAEAEA"/>
              </w:rPr>
              <w:t>294,125</w:t>
            </w:r>
          </w:p>
        </w:tc>
        <w:tc>
          <w:tcPr>
            <w:tcW w:w="100" w:type="dxa"/>
            <w:vAlign w:val="bottom"/>
            <w:gridSpan w:val="4"/>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60" w:type="dxa"/>
            <w:vAlign w:val="bottom"/>
            <w:tcBorders>
              <w:bottom w:val="single" w:sz="8" w:color="EAEAEA"/>
            </w:tcBorders>
            <w:gridSpan w:val="17"/>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on income</w:t>
            </w:r>
          </w:p>
        </w:tc>
        <w:tc>
          <w:tcPr>
            <w:tcW w:w="320" w:type="dxa"/>
            <w:vAlign w:val="bottom"/>
            <w:tcBorders>
              <w:bottom w:val="single" w:sz="8" w:color="EAEAEA"/>
            </w:tcBorders>
            <w:gridSpan w:val="3"/>
            <w:shd w:val="clear" w:color="auto" w:fill="EAEAEA"/>
          </w:tcPr>
          <w:p>
            <w:pPr>
              <w:jc w:val="right"/>
              <w:ind w:right="180"/>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520" w:type="dxa"/>
            <w:vAlign w:val="bottom"/>
            <w:tcBorders>
              <w:bottom w:val="single" w:sz="8" w:color="EAEAEA"/>
            </w:tcBorders>
            <w:gridSpan w:val="4"/>
            <w:vMerge w:val="continue"/>
            <w:shd w:val="clear" w:color="auto" w:fill="EAEAEA"/>
          </w:tcPr>
          <w:p>
            <w:pPr>
              <w:spacing w:after="0"/>
              <w:rPr>
                <w:sz w:val="18"/>
                <w:szCs w:val="18"/>
                <w:color w:val="auto"/>
              </w:rPr>
            </w:pPr>
          </w:p>
        </w:tc>
        <w:tc>
          <w:tcPr>
            <w:tcW w:w="60" w:type="dxa"/>
            <w:vAlign w:val="bottom"/>
            <w:tcBorders>
              <w:bottom w:val="single" w:sz="8" w:color="EAEAEA"/>
            </w:tcBorders>
            <w:gridSpan w:val="2"/>
            <w:shd w:val="clear" w:color="auto" w:fill="EAEAEA"/>
          </w:tcPr>
          <w:p>
            <w:pPr>
              <w:spacing w:after="0"/>
              <w:rPr>
                <w:sz w:val="18"/>
                <w:szCs w:val="18"/>
                <w:color w:val="auto"/>
              </w:rPr>
            </w:pPr>
          </w:p>
        </w:tc>
        <w:tc>
          <w:tcPr>
            <w:tcW w:w="180" w:type="dxa"/>
            <w:vAlign w:val="bottom"/>
            <w:tcBorders>
              <w:left w:val="single" w:sz="8" w:color="EAEAEA"/>
            </w:tcBorders>
          </w:tcPr>
          <w:p>
            <w:pPr>
              <w:spacing w:after="0"/>
              <w:rPr>
                <w:sz w:val="18"/>
                <w:szCs w:val="18"/>
                <w:color w:val="auto"/>
              </w:rPr>
            </w:pPr>
          </w:p>
        </w:tc>
        <w:tc>
          <w:tcPr>
            <w:tcW w:w="2480" w:type="dxa"/>
            <w:vAlign w:val="bottom"/>
            <w:tcBorders>
              <w:bottom w:val="single" w:sz="8" w:color="EAEAEA"/>
            </w:tcBorders>
            <w:gridSpan w:val="18"/>
            <w:shd w:val="clear" w:color="auto" w:fill="EAEAEA"/>
          </w:tcPr>
          <w:p>
            <w:pPr>
              <w:jc w:val="right"/>
              <w:ind w:right="2400"/>
              <w:spacing w:after="0"/>
              <w:rPr>
                <w:sz w:val="20"/>
                <w:szCs w:val="20"/>
                <w:color w:val="auto"/>
              </w:rPr>
            </w:pPr>
            <w:r>
              <w:rPr>
                <w:rFonts w:ascii="Times New Roman" w:cs="Times New Roman" w:eastAsia="Times New Roman" w:hAnsi="Times New Roman"/>
                <w:sz w:val="16"/>
                <w:szCs w:val="16"/>
                <w:color w:val="auto"/>
                <w:shd w:val="clear" w:color="auto" w:fill="EAEAEA"/>
              </w:rPr>
              <w:t>$</w:t>
            </w:r>
          </w:p>
        </w:tc>
        <w:tc>
          <w:tcPr>
            <w:tcW w:w="520" w:type="dxa"/>
            <w:vAlign w:val="bottom"/>
            <w:tcBorders>
              <w:bottom w:val="single" w:sz="8" w:color="EAEAEA"/>
            </w:tcBorders>
            <w:gridSpan w:val="4"/>
            <w:vMerge w:val="continue"/>
            <w:shd w:val="clear" w:color="auto" w:fill="EAEAEA"/>
          </w:tcPr>
          <w:p>
            <w:pPr>
              <w:spacing w:after="0"/>
              <w:rPr>
                <w:sz w:val="18"/>
                <w:szCs w:val="18"/>
                <w:color w:val="auto"/>
              </w:rPr>
            </w:pPr>
          </w:p>
        </w:tc>
        <w:tc>
          <w:tcPr>
            <w:tcW w:w="60" w:type="dxa"/>
            <w:vAlign w:val="bottom"/>
            <w:tcBorders>
              <w:bottom w:val="single" w:sz="8" w:color="EAEAEA"/>
            </w:tcBorders>
            <w:gridSpan w:val="2"/>
            <w:shd w:val="clear" w:color="auto" w:fill="EAEAEA"/>
          </w:tcPr>
          <w:p>
            <w:pPr>
              <w:spacing w:after="0"/>
              <w:rPr>
                <w:sz w:val="18"/>
                <w:szCs w:val="18"/>
                <w:color w:val="auto"/>
              </w:rPr>
            </w:pPr>
          </w:p>
        </w:tc>
        <w:tc>
          <w:tcPr>
            <w:tcW w:w="160" w:type="dxa"/>
            <w:vAlign w:val="bottom"/>
            <w:tcBorders>
              <w:left w:val="single" w:sz="8" w:color="EAEAEA"/>
            </w:tcBorders>
          </w:tcPr>
          <w:p>
            <w:pPr>
              <w:spacing w:after="0"/>
              <w:rPr>
                <w:sz w:val="18"/>
                <w:szCs w:val="18"/>
                <w:color w:val="auto"/>
              </w:rPr>
            </w:pPr>
          </w:p>
        </w:tc>
        <w:tc>
          <w:tcPr>
            <w:tcW w:w="2440" w:type="dxa"/>
            <w:vAlign w:val="bottom"/>
            <w:tcBorders>
              <w:bottom w:val="single" w:sz="8" w:color="EAEAEA"/>
            </w:tcBorders>
            <w:gridSpan w:val="18"/>
            <w:shd w:val="clear" w:color="auto" w:fill="EAEAEA"/>
          </w:tcPr>
          <w:p>
            <w:pPr>
              <w:jc w:val="right"/>
              <w:ind w:right="2360"/>
              <w:spacing w:after="0"/>
              <w:rPr>
                <w:sz w:val="20"/>
                <w:szCs w:val="20"/>
                <w:color w:val="auto"/>
              </w:rPr>
            </w:pPr>
            <w:r>
              <w:rPr>
                <w:rFonts w:ascii="Times New Roman" w:cs="Times New Roman" w:eastAsia="Times New Roman" w:hAnsi="Times New Roman"/>
                <w:sz w:val="16"/>
                <w:szCs w:val="16"/>
                <w:color w:val="auto"/>
                <w:shd w:val="clear" w:color="auto" w:fill="EAEAEA"/>
              </w:rPr>
              <w:t>$</w:t>
            </w:r>
          </w:p>
        </w:tc>
        <w:tc>
          <w:tcPr>
            <w:tcW w:w="500" w:type="dxa"/>
            <w:vAlign w:val="bottom"/>
            <w:tcBorders>
              <w:bottom w:val="single" w:sz="8" w:color="EAEAEA"/>
            </w:tcBorders>
            <w:gridSpan w:val="4"/>
            <w:vMerge w:val="continue"/>
            <w:shd w:val="clear" w:color="auto" w:fill="EAEAEA"/>
          </w:tcPr>
          <w:p>
            <w:pPr>
              <w:spacing w:after="0"/>
              <w:rPr>
                <w:sz w:val="18"/>
                <w:szCs w:val="18"/>
                <w:color w:val="auto"/>
              </w:rPr>
            </w:pPr>
          </w:p>
        </w:tc>
        <w:tc>
          <w:tcPr>
            <w:tcW w:w="100" w:type="dxa"/>
            <w:vAlign w:val="bottom"/>
            <w:tcBorders>
              <w:bottom w:val="single" w:sz="8" w:color="EAEAEA"/>
            </w:tcBorders>
            <w:gridSpan w:val="4"/>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17"/>
          </w:tcPr>
          <w:p>
            <w:pPr>
              <w:spacing w:after="0" w:line="20" w:lineRule="exact"/>
              <w:rPr>
                <w:sz w:val="1"/>
                <w:szCs w:val="1"/>
                <w:color w:val="auto"/>
              </w:rPr>
            </w:pPr>
          </w:p>
        </w:tc>
        <w:tc>
          <w:tcPr>
            <w:tcW w:w="860" w:type="dxa"/>
            <w:vAlign w:val="bottom"/>
            <w:tcBorders>
              <w:top w:val="single" w:sz="8" w:color="auto"/>
              <w:bottom w:val="single" w:sz="8" w:color="auto"/>
            </w:tcBorders>
            <w:gridSpan w:val="8"/>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880" w:type="dxa"/>
            <w:vAlign w:val="bottom"/>
            <w:tcBorders>
              <w:top w:val="single" w:sz="8" w:color="auto"/>
              <w:bottom w:val="single" w:sz="8" w:color="auto"/>
            </w:tcBorders>
            <w:gridSpan w:val="9"/>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800" w:type="dxa"/>
            <w:vAlign w:val="bottom"/>
            <w:tcBorders>
              <w:top w:val="single" w:sz="8" w:color="auto"/>
              <w:bottom w:val="single" w:sz="8" w:color="auto"/>
            </w:tcBorders>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2739390</wp:posOffset>
                </wp:positionH>
                <wp:positionV relativeFrom="paragraph">
                  <wp:posOffset>-5003165</wp:posOffset>
                </wp:positionV>
                <wp:extent cx="0" cy="952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7pt,-393.9499pt" to="215.7pt,-393.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4794885</wp:posOffset>
                </wp:positionH>
                <wp:positionV relativeFrom="paragraph">
                  <wp:posOffset>-5003165</wp:posOffset>
                </wp:positionV>
                <wp:extent cx="0" cy="952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55pt,-393.9499pt" to="377.55pt,-393.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6811645</wp:posOffset>
                </wp:positionH>
                <wp:positionV relativeFrom="paragraph">
                  <wp:posOffset>-5003165</wp:posOffset>
                </wp:positionV>
                <wp:extent cx="0" cy="952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6.35pt,-393.9499pt" to="536.35pt,-393.1999pt" o:allowincell="f" strokecolor="#000000" strokeweight="0pt"/>
            </w:pict>
          </mc:Fallback>
        </mc:AlternateContent>
        <w:drawing>
          <wp:anchor simplePos="0" relativeHeight="251657728" behindDoc="1" locked="0" layoutInCell="0" allowOverlap="1">
            <wp:simplePos x="0" y="0"/>
            <wp:positionH relativeFrom="column">
              <wp:posOffset>808990</wp:posOffset>
            </wp:positionH>
            <wp:positionV relativeFrom="paragraph">
              <wp:posOffset>-4872990</wp:posOffset>
            </wp:positionV>
            <wp:extent cx="601535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9">
                      <a:extLst>
                        <a:ext uri="{28A0092B-C50C-407E-A947-70E740481C1C}"/>
                      </a:extLst>
                    </a:blip>
                    <a:srcRect/>
                    <a:stretch>
                      <a:fillRect/>
                    </a:stretch>
                  </pic:blipFill>
                  <pic:spPr bwMode="auto">
                    <a:xfrm>
                      <a:off x="0" y="0"/>
                      <a:ext cx="6015355" cy="34925"/>
                    </a:xfrm>
                    <a:prstGeom prst="rect">
                      <a:avLst/>
                    </a:prstGeom>
                    <a:noFill/>
                  </pic:spPr>
                </pic:pic>
              </a:graphicData>
            </a:graphic>
          </wp:anchor>
        </w:drawing>
      </w:r>
    </w:p>
    <w:p>
      <w:pPr>
        <w:spacing w:after="0" w:line="125" w:lineRule="exact"/>
        <w:rPr>
          <w:sz w:val="20"/>
          <w:szCs w:val="20"/>
          <w:color w:val="auto"/>
        </w:rPr>
      </w:pPr>
    </w:p>
    <w:p>
      <w:pPr>
        <w:ind w:left="980" w:hanging="490"/>
        <w:spacing w:after="0"/>
        <w:tabs>
          <w:tab w:leader="none" w:pos="9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spacing w:after="0" w:line="26"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6"/>
          <w:szCs w:val="16"/>
          <w:color w:val="auto"/>
        </w:rPr>
        <w:t>KMT</w:t>
      </w:r>
      <w:r>
        <w:rPr>
          <w:sz w:val="20"/>
          <w:szCs w:val="20"/>
          <w:color w:val="auto"/>
        </w:rPr>
        <w:tab/>
      </w:r>
      <w:r>
        <w:rPr>
          <w:rFonts w:ascii="Times New Roman" w:cs="Times New Roman" w:eastAsia="Times New Roman" w:hAnsi="Times New Roman"/>
          <w:sz w:val="16"/>
          <w:szCs w:val="16"/>
          <w:color w:val="auto"/>
        </w:rPr>
        <w:t>selling expense, professional service expense, occupancy expense, and certain overhead expenses.</w:t>
      </w:r>
    </w:p>
    <w:p>
      <w:pPr>
        <w:spacing w:after="0" w:line="7" w:lineRule="exact"/>
        <w:rPr>
          <w:sz w:val="20"/>
          <w:szCs w:val="20"/>
          <w:color w:val="auto"/>
        </w:rPr>
      </w:pPr>
    </w:p>
    <w:p>
      <w:pPr>
        <w:ind w:left="1440"/>
        <w:spacing w:after="0" w:line="265" w:lineRule="auto"/>
        <w:rPr>
          <w:sz w:val="20"/>
          <w:szCs w:val="20"/>
          <w:color w:val="auto"/>
        </w:rPr>
      </w:pPr>
      <w:r>
        <w:rPr>
          <w:rFonts w:ascii="Times New Roman" w:cs="Times New Roman" w:eastAsia="Times New Roman" w:hAnsi="Times New Roman"/>
          <w:sz w:val="16"/>
          <w:szCs w:val="16"/>
          <w:color w:val="auto"/>
        </w:rPr>
        <w:t>KDS inventory-related expense, warranty expense, selling expense, professional service expense, occupancy expense, and certain overhead expenses</w:t>
      </w:r>
    </w:p>
    <w:p>
      <w:pPr>
        <w:spacing w:after="0" w:line="20" w:lineRule="exact"/>
        <w:rPr>
          <w:sz w:val="20"/>
          <w:szCs w:val="20"/>
          <w:color w:val="auto"/>
        </w:r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vMerge w:val="restart"/>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800" w:type="dxa"/>
            <w:vAlign w:val="bottom"/>
            <w:gridSpan w:val="5"/>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3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0" w:type="dxa"/>
            <w:vAlign w:val="bottom"/>
            <w:tcBorders>
              <w:bottom w:val="single" w:sz="8" w:color="EAEAEA"/>
            </w:tcBorders>
          </w:tcPr>
          <w:p>
            <w:pPr>
              <w:spacing w:after="0"/>
              <w:rPr>
                <w:sz w:val="17"/>
                <w:szCs w:val="17"/>
                <w:color w:val="auto"/>
              </w:rPr>
            </w:pPr>
          </w:p>
        </w:tc>
        <w:tc>
          <w:tcPr>
            <w:tcW w:w="4920" w:type="dxa"/>
            <w:vAlign w:val="bottom"/>
            <w:tcBorders>
              <w:bottom w:val="single" w:sz="8" w:color="EAEAEA"/>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EAEAEA"/>
            </w:tcBorders>
          </w:tcPr>
          <w:p>
            <w:pPr>
              <w:spacing w:after="0"/>
              <w:rPr>
                <w:sz w:val="17"/>
                <w:szCs w:val="17"/>
                <w:color w:val="auto"/>
              </w:rPr>
            </w:pPr>
          </w:p>
        </w:tc>
        <w:tc>
          <w:tcPr>
            <w:tcW w:w="180" w:type="dxa"/>
            <w:vAlign w:val="bottom"/>
            <w:tcBorders>
              <w:bottom w:val="single" w:sz="8" w:color="EAEAEA"/>
            </w:tcBorders>
          </w:tcPr>
          <w:p>
            <w:pPr>
              <w:spacing w:after="0"/>
              <w:rPr>
                <w:sz w:val="17"/>
                <w:szCs w:val="17"/>
                <w:color w:val="auto"/>
              </w:rPr>
            </w:pPr>
          </w:p>
        </w:tc>
        <w:tc>
          <w:tcPr>
            <w:tcW w:w="100" w:type="dxa"/>
            <w:vAlign w:val="bottom"/>
            <w:tcBorders>
              <w:bottom w:val="single" w:sz="8" w:color="EAEAEA"/>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EAEAEA"/>
            </w:tcBorders>
          </w:tcPr>
          <w:p>
            <w:pPr>
              <w:spacing w:after="0"/>
              <w:rPr>
                <w:sz w:val="17"/>
                <w:szCs w:val="17"/>
                <w:color w:val="auto"/>
              </w:rPr>
            </w:pPr>
          </w:p>
        </w:tc>
        <w:tc>
          <w:tcPr>
            <w:tcW w:w="20" w:type="dxa"/>
            <w:vAlign w:val="bottom"/>
            <w:tcBorders>
              <w:top w:val="single" w:sz="8" w:color="auto"/>
              <w:bottom w:val="single" w:sz="8" w:color="EAEAEA"/>
            </w:tcBorders>
          </w:tcPr>
          <w:p>
            <w:pPr>
              <w:spacing w:after="0"/>
              <w:rPr>
                <w:sz w:val="17"/>
                <w:szCs w:val="17"/>
                <w:color w:val="auto"/>
              </w:rPr>
            </w:pPr>
          </w:p>
        </w:tc>
        <w:tc>
          <w:tcPr>
            <w:tcW w:w="280" w:type="dxa"/>
            <w:vAlign w:val="bottom"/>
            <w:tcBorders>
              <w:bottom w:val="single" w:sz="8" w:color="EAEAEA"/>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Depreciation and amortization:</w:t>
            </w:r>
          </w:p>
        </w:tc>
        <w:tc>
          <w:tcPr>
            <w:tcW w:w="360" w:type="dxa"/>
            <w:vAlign w:val="bottom"/>
            <w:shd w:val="clear" w:color="auto" w:fill="EAEAEA"/>
          </w:tcPr>
          <w:p>
            <w:pPr>
              <w:spacing w:after="0"/>
              <w:rPr>
                <w:sz w:val="20"/>
                <w:szCs w:val="20"/>
                <w:color w:val="auto"/>
              </w:rPr>
            </w:pPr>
          </w:p>
        </w:tc>
        <w:tc>
          <w:tcPr>
            <w:tcW w:w="7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960" w:type="dxa"/>
            <w:vAlign w:val="bottom"/>
            <w:shd w:val="clear" w:color="auto" w:fill="EAEAEA"/>
          </w:tcPr>
          <w:p>
            <w:pPr>
              <w:spacing w:after="0"/>
              <w:rPr>
                <w:sz w:val="20"/>
                <w:szCs w:val="20"/>
                <w:color w:val="auto"/>
              </w:rPr>
            </w:pPr>
          </w:p>
        </w:tc>
        <w:tc>
          <w:tcPr>
            <w:tcW w:w="5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60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4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Marine transportation</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213,907</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197,347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184,225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0" w:type="dxa"/>
            <w:vAlign w:val="bottom"/>
            <w:tcBorders>
              <w:bottom w:val="single" w:sz="8" w:color="EAEAEA"/>
            </w:tcBorders>
            <w:shd w:val="clear" w:color="auto" w:fill="EAEAEA"/>
          </w:tcPr>
          <w:p>
            <w:pPr>
              <w:spacing w:after="0"/>
              <w:rPr>
                <w:sz w:val="19"/>
                <w:szCs w:val="19"/>
                <w:color w:val="auto"/>
              </w:rPr>
            </w:pPr>
          </w:p>
        </w:tc>
        <w:tc>
          <w:tcPr>
            <w:tcW w:w="4920" w:type="dxa"/>
            <w:vAlign w:val="bottom"/>
            <w:tcBorders>
              <w:bottom w:val="single" w:sz="8" w:color="EAEAEA"/>
            </w:tcBorders>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Distribution and services</w:t>
            </w:r>
          </w:p>
        </w:tc>
        <w:tc>
          <w:tcPr>
            <w:tcW w:w="360" w:type="dxa"/>
            <w:vAlign w:val="bottom"/>
            <w:tcBorders>
              <w:bottom w:val="single" w:sz="8" w:color="EAEAEA"/>
            </w:tcBorders>
            <w:shd w:val="clear" w:color="auto" w:fill="EAEAEA"/>
          </w:tcPr>
          <w:p>
            <w:pPr>
              <w:spacing w:after="0"/>
              <w:rPr>
                <w:sz w:val="19"/>
                <w:szCs w:val="19"/>
                <w:color w:val="auto"/>
              </w:rPr>
            </w:pPr>
          </w:p>
        </w:tc>
        <w:tc>
          <w:tcPr>
            <w:tcW w:w="700" w:type="dxa"/>
            <w:vAlign w:val="bottom"/>
            <w:tcBorders>
              <w:bottom w:val="single" w:sz="8" w:color="EAEAEA"/>
            </w:tcBorders>
            <w:shd w:val="clear" w:color="auto" w:fill="EAEAEA"/>
          </w:tcPr>
          <w:p>
            <w:pPr>
              <w:spacing w:after="0"/>
              <w:rPr>
                <w:sz w:val="19"/>
                <w:szCs w:val="19"/>
                <w:color w:val="auto"/>
              </w:rPr>
            </w:pPr>
          </w:p>
        </w:tc>
        <w:tc>
          <w:tcPr>
            <w:tcW w:w="560" w:type="dxa"/>
            <w:vAlign w:val="bottom"/>
            <w:tcBorders>
              <w:bottom w:val="single" w:sz="8" w:color="EAEAEA"/>
            </w:tcBorders>
            <w:gridSpan w:val="3"/>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4"/>
                <w:shd w:val="clear" w:color="auto" w:fill="EAEAEA"/>
              </w:rPr>
              <w:t>42,936</w:t>
            </w:r>
          </w:p>
        </w:tc>
        <w:tc>
          <w:tcPr>
            <w:tcW w:w="10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960" w:type="dxa"/>
            <w:vAlign w:val="bottom"/>
            <w:tcBorders>
              <w:bottom w:val="single" w:sz="8" w:color="EAEAEA"/>
            </w:tcBorders>
            <w:shd w:val="clear" w:color="auto" w:fill="EAEAEA"/>
          </w:tcPr>
          <w:p>
            <w:pPr>
              <w:spacing w:after="0"/>
              <w:rPr>
                <w:sz w:val="19"/>
                <w:szCs w:val="19"/>
                <w:color w:val="auto"/>
              </w:rPr>
            </w:pPr>
          </w:p>
        </w:tc>
        <w:tc>
          <w:tcPr>
            <w:tcW w:w="5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0"/>
                <w:shd w:val="clear" w:color="auto" w:fill="EAEAEA"/>
              </w:rPr>
              <w:t>35,448</w:t>
            </w:r>
          </w:p>
        </w:tc>
        <w:tc>
          <w:tcPr>
            <w:tcW w:w="8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spacing w:after="0"/>
              <w:rPr>
                <w:sz w:val="19"/>
                <w:szCs w:val="19"/>
                <w:color w:val="auto"/>
              </w:rPr>
            </w:pPr>
          </w:p>
        </w:tc>
        <w:tc>
          <w:tcPr>
            <w:tcW w:w="600" w:type="dxa"/>
            <w:vAlign w:val="bottom"/>
            <w:tcBorders>
              <w:bottom w:val="single" w:sz="8" w:color="EAEAEA"/>
            </w:tcBorders>
            <w:shd w:val="clear" w:color="auto" w:fill="EAEAEA"/>
          </w:tcPr>
          <w:p>
            <w:pPr>
              <w:spacing w:after="0"/>
              <w:rPr>
                <w:sz w:val="19"/>
                <w:szCs w:val="19"/>
                <w:color w:val="auto"/>
              </w:rPr>
            </w:pPr>
          </w:p>
        </w:tc>
        <w:tc>
          <w:tcPr>
            <w:tcW w:w="640" w:type="dxa"/>
            <w:vAlign w:val="bottom"/>
            <w:tcBorders>
              <w:bottom w:val="single" w:sz="8" w:color="EAEAEA"/>
            </w:tcBorders>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19,842</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0" w:type="dxa"/>
            <w:vAlign w:val="bottom"/>
          </w:tcPr>
          <w:p>
            <w:pPr>
              <w:spacing w:after="0"/>
              <w:rPr>
                <w:sz w:val="5"/>
                <w:szCs w:val="5"/>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5"/>
                <w:szCs w:val="5"/>
                <w:color w:val="auto"/>
              </w:rPr>
            </w:pPr>
          </w:p>
        </w:tc>
        <w:tc>
          <w:tcPr>
            <w:tcW w:w="800" w:type="dxa"/>
            <w:vAlign w:val="bottom"/>
            <w:gridSpan w:val="2"/>
            <w:vMerge w:val="restart"/>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7,527</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4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3"/>
              </w:rPr>
              <w:t>7,283</w:t>
            </w:r>
          </w:p>
        </w:tc>
        <w:tc>
          <w:tcPr>
            <w:tcW w:w="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8"/>
              </w:rPr>
              <w:t>7,089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492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8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0" w:type="dxa"/>
            <w:vAlign w:val="bottom"/>
            <w:tcBorders>
              <w:bottom w:val="single" w:sz="8" w:color="EAEAEA"/>
            </w:tcBorders>
            <w:shd w:val="clear" w:color="auto" w:fill="EAEAEA"/>
          </w:tcPr>
          <w:p>
            <w:pPr>
              <w:spacing w:after="0"/>
              <w:rPr>
                <w:sz w:val="19"/>
                <w:szCs w:val="19"/>
                <w:color w:val="auto"/>
              </w:rPr>
            </w:pPr>
          </w:p>
        </w:tc>
        <w:tc>
          <w:tcPr>
            <w:tcW w:w="492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60" w:type="dxa"/>
            <w:vAlign w:val="bottom"/>
            <w:tcBorders>
              <w:bottom w:val="single" w:sz="8" w:color="EAEAEA"/>
            </w:tcBorders>
            <w:gridSpan w:val="4"/>
            <w:shd w:val="clear" w:color="auto" w:fill="EAEAEA"/>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264,126</w:t>
            </w:r>
          </w:p>
        </w:tc>
        <w:tc>
          <w:tcPr>
            <w:tcW w:w="10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520" w:type="dxa"/>
            <w:vAlign w:val="bottom"/>
            <w:tcBorders>
              <w:bottom w:val="single" w:sz="8" w:color="EAEAEA"/>
            </w:tcBorders>
            <w:gridSpan w:val="2"/>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EAEAEA"/>
              </w:rPr>
              <w:t>240,322</w:t>
            </w:r>
          </w:p>
        </w:tc>
        <w:tc>
          <w:tcPr>
            <w:tcW w:w="8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600" w:type="dxa"/>
            <w:vAlign w:val="bottom"/>
            <w:tcBorders>
              <w:bottom w:val="single" w:sz="8" w:color="EAEAEA"/>
            </w:tcBorders>
            <w:shd w:val="clear" w:color="auto" w:fill="EAEAEA"/>
          </w:tcPr>
          <w:p>
            <w:pPr>
              <w:spacing w:after="0"/>
              <w:rPr>
                <w:sz w:val="19"/>
                <w:szCs w:val="19"/>
                <w:color w:val="auto"/>
              </w:rPr>
            </w:pPr>
          </w:p>
        </w:tc>
        <w:tc>
          <w:tcPr>
            <w:tcW w:w="640" w:type="dxa"/>
            <w:vAlign w:val="bottom"/>
            <w:tcBorders>
              <w:bottom w:val="single" w:sz="8" w:color="EAEAEA"/>
            </w:tcBorders>
            <w:gridSpan w:val="2"/>
            <w:shd w:val="clear" w:color="auto" w:fill="EAEAEA"/>
          </w:tcPr>
          <w:p>
            <w:pPr>
              <w:jc w:val="right"/>
              <w:spacing w:after="0" w:line="201" w:lineRule="exact"/>
              <w:rPr>
                <w:sz w:val="20"/>
                <w:szCs w:val="20"/>
                <w:color w:val="auto"/>
              </w:rPr>
            </w:pPr>
            <w:r>
              <w:rPr>
                <w:rFonts w:ascii="Times New Roman" w:cs="Times New Roman" w:eastAsia="Times New Roman" w:hAnsi="Times New Roman"/>
                <w:sz w:val="20"/>
                <w:szCs w:val="20"/>
                <w:color w:val="auto"/>
                <w:w w:val="95"/>
                <w:shd w:val="clear" w:color="auto" w:fill="EAEAEA"/>
              </w:rPr>
              <w:t>211,156</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20" w:type="dxa"/>
            <w:vAlign w:val="bottom"/>
            <w:tcBorders>
              <w:bottom w:val="single" w:sz="8" w:color="EAEAEA"/>
            </w:tcBorders>
            <w:gridSpan w:val="2"/>
            <w:shd w:val="clear" w:color="auto" w:fill="EAEAEA"/>
          </w:tcPr>
          <w:p>
            <w:pPr>
              <w:ind w:left="200"/>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Marine transportation</w:t>
            </w:r>
          </w:p>
        </w:tc>
        <w:tc>
          <w:tcPr>
            <w:tcW w:w="360" w:type="dxa"/>
            <w:vAlign w:val="bottom"/>
            <w:tcBorders>
              <w:bottom w:val="single" w:sz="8" w:color="EAEAEA"/>
            </w:tcBorders>
            <w:shd w:val="clear" w:color="auto" w:fill="EAEAEA"/>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tcBorders>
              <w:bottom w:val="single" w:sz="8" w:color="EAEAEA"/>
            </w:tcBorders>
            <w:gridSpan w:val="3"/>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229,115</w:t>
            </w:r>
          </w:p>
        </w:tc>
        <w:tc>
          <w:tcPr>
            <w:tcW w:w="40" w:type="dxa"/>
            <w:vAlign w:val="bottom"/>
            <w:tcBorders>
              <w:bottom w:val="single" w:sz="8" w:color="EAEAEA"/>
            </w:tcBorders>
            <w:shd w:val="clear" w:color="auto" w:fill="EAEAEA"/>
          </w:tcPr>
          <w:p>
            <w:pPr>
              <w:spacing w:after="0"/>
              <w:rPr>
                <w:sz w:val="19"/>
                <w:szCs w:val="19"/>
                <w:color w:val="auto"/>
              </w:rPr>
            </w:pPr>
          </w:p>
        </w:tc>
        <w:tc>
          <w:tcPr>
            <w:tcW w:w="380" w:type="dxa"/>
            <w:vAlign w:val="bottom"/>
            <w:tcBorders>
              <w:bottom w:val="single" w:sz="8" w:color="EAEAEA"/>
            </w:tcBorders>
            <w:gridSpan w:val="3"/>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520" w:type="dxa"/>
            <w:vAlign w:val="bottom"/>
            <w:tcBorders>
              <w:bottom w:val="single" w:sz="8" w:color="EAEAEA"/>
            </w:tcBorders>
            <w:gridSpan w:val="2"/>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EAEAEA"/>
              </w:rPr>
              <w:t>247,768</w:t>
            </w:r>
          </w:p>
        </w:tc>
        <w:tc>
          <w:tcPr>
            <w:tcW w:w="8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600" w:type="dxa"/>
            <w:vAlign w:val="bottom"/>
            <w:tcBorders>
              <w:bottom w:val="single" w:sz="8" w:color="EAEAEA"/>
            </w:tcBorders>
            <w:shd w:val="clear" w:color="auto" w:fill="EAEAEA"/>
          </w:tcPr>
          <w:p>
            <w:pPr>
              <w:spacing w:after="0"/>
              <w:rPr>
                <w:sz w:val="19"/>
                <w:szCs w:val="19"/>
                <w:color w:val="auto"/>
              </w:rPr>
            </w:pPr>
          </w:p>
        </w:tc>
        <w:tc>
          <w:tcPr>
            <w:tcW w:w="640" w:type="dxa"/>
            <w:vAlign w:val="bottom"/>
            <w:tcBorders>
              <w:bottom w:val="single" w:sz="8" w:color="EAEAEA"/>
            </w:tcBorders>
            <w:gridSpan w:val="2"/>
            <w:shd w:val="clear" w:color="auto" w:fill="EAEAEA"/>
          </w:tcPr>
          <w:p>
            <w:pPr>
              <w:jc w:val="right"/>
              <w:spacing w:after="0" w:line="216" w:lineRule="exact"/>
              <w:rPr>
                <w:sz w:val="20"/>
                <w:szCs w:val="20"/>
                <w:color w:val="auto"/>
              </w:rPr>
            </w:pPr>
            <w:r>
              <w:rPr>
                <w:rFonts w:ascii="Times New Roman" w:cs="Times New Roman" w:eastAsia="Times New Roman" w:hAnsi="Times New Roman"/>
                <w:sz w:val="20"/>
                <w:szCs w:val="20"/>
                <w:color w:val="auto"/>
                <w:w w:val="92"/>
                <w:shd w:val="clear" w:color="auto" w:fill="EAEAEA"/>
              </w:rPr>
              <w:t>255,411</w:t>
            </w: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Distribution and services</w:t>
            </w:r>
          </w:p>
        </w:tc>
        <w:tc>
          <w:tcPr>
            <w:tcW w:w="3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27,275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85,437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140,769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EAEAEA"/>
            </w:tcBorders>
            <w:shd w:val="clear" w:color="auto" w:fill="EAEAEA"/>
          </w:tcPr>
          <w:p>
            <w:pPr>
              <w:spacing w:after="0"/>
              <w:rPr>
                <w:sz w:val="21"/>
                <w:szCs w:val="21"/>
                <w:color w:val="auto"/>
              </w:rPr>
            </w:pPr>
          </w:p>
        </w:tc>
        <w:tc>
          <w:tcPr>
            <w:tcW w:w="4920" w:type="dxa"/>
            <w:vAlign w:val="bottom"/>
            <w:tcBorders>
              <w:bottom w:val="single" w:sz="8" w:color="EAEAEA"/>
            </w:tcBorders>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Other</w:t>
            </w:r>
          </w:p>
        </w:tc>
        <w:tc>
          <w:tcPr>
            <w:tcW w:w="360" w:type="dxa"/>
            <w:vAlign w:val="bottom"/>
            <w:tcBorders>
              <w:bottom w:val="single" w:sz="8" w:color="EAEAEA"/>
            </w:tcBorders>
            <w:shd w:val="clear" w:color="auto" w:fill="EAEAEA"/>
          </w:tcPr>
          <w:p>
            <w:pPr>
              <w:spacing w:after="0"/>
              <w:rPr>
                <w:sz w:val="21"/>
                <w:szCs w:val="21"/>
                <w:color w:val="auto"/>
              </w:rPr>
            </w:pPr>
          </w:p>
        </w:tc>
        <w:tc>
          <w:tcPr>
            <w:tcW w:w="800" w:type="dxa"/>
            <w:vAlign w:val="bottom"/>
            <w:tcBorders>
              <w:bottom w:val="single" w:sz="8" w:color="EAEAEA"/>
            </w:tcBorders>
            <w:gridSpan w:val="2"/>
            <w:shd w:val="clear" w:color="auto" w:fill="EAEAEA"/>
          </w:tcPr>
          <w:p>
            <w:pPr>
              <w:spacing w:after="0"/>
              <w:rPr>
                <w:sz w:val="21"/>
                <w:szCs w:val="21"/>
                <w:color w:val="auto"/>
              </w:rPr>
            </w:pPr>
          </w:p>
        </w:tc>
        <w:tc>
          <w:tcPr>
            <w:tcW w:w="42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88"/>
                <w:shd w:val="clear" w:color="auto" w:fill="EAEAEA"/>
              </w:rPr>
              <w:t>8,083</w:t>
            </w:r>
          </w:p>
        </w:tc>
        <w:tc>
          <w:tcPr>
            <w:tcW w:w="4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960" w:type="dxa"/>
            <w:vAlign w:val="bottom"/>
            <w:tcBorders>
              <w:bottom w:val="single" w:sz="8" w:color="EAEAEA"/>
            </w:tcBorders>
            <w:shd w:val="clear" w:color="auto" w:fill="EAEAEA"/>
          </w:tcPr>
          <w:p>
            <w:pPr>
              <w:spacing w:after="0"/>
              <w:rPr>
                <w:sz w:val="21"/>
                <w:szCs w:val="21"/>
                <w:color w:val="auto"/>
              </w:rPr>
            </w:pPr>
          </w:p>
        </w:tc>
        <w:tc>
          <w:tcPr>
            <w:tcW w:w="5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9,455</w:t>
            </w:r>
          </w:p>
        </w:tc>
        <w:tc>
          <w:tcPr>
            <w:tcW w:w="8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280" w:type="dxa"/>
            <w:vAlign w:val="bottom"/>
            <w:tcBorders>
              <w:bottom w:val="single" w:sz="8" w:color="EAEAEA"/>
            </w:tcBorders>
            <w:shd w:val="clear" w:color="auto" w:fill="EAEAEA"/>
          </w:tcPr>
          <w:p>
            <w:pPr>
              <w:spacing w:after="0"/>
              <w:rPr>
                <w:sz w:val="21"/>
                <w:szCs w:val="21"/>
                <w:color w:val="auto"/>
              </w:rPr>
            </w:pPr>
          </w:p>
        </w:tc>
        <w:tc>
          <w:tcPr>
            <w:tcW w:w="360" w:type="dxa"/>
            <w:vAlign w:val="bottom"/>
            <w:tcBorders>
              <w:bottom w:val="single" w:sz="8" w:color="EAEAEA"/>
            </w:tcBorders>
            <w:shd w:val="clear" w:color="auto" w:fill="EAEAEA"/>
          </w:tcPr>
          <w:p>
            <w:pPr>
              <w:spacing w:after="0"/>
              <w:rPr>
                <w:sz w:val="21"/>
                <w:szCs w:val="21"/>
                <w:color w:val="auto"/>
              </w:rPr>
            </w:pPr>
          </w:p>
        </w:tc>
        <w:tc>
          <w:tcPr>
            <w:tcW w:w="800" w:type="dxa"/>
            <w:vAlign w:val="bottom"/>
            <w:tcBorders>
              <w:bottom w:val="single" w:sz="8" w:color="EAEAEA"/>
            </w:tcBorders>
            <w:gridSpan w:val="2"/>
            <w:shd w:val="clear" w:color="auto" w:fill="EAEAEA"/>
          </w:tcPr>
          <w:p>
            <w:pPr>
              <w:spacing w:after="0"/>
              <w:rPr>
                <w:sz w:val="21"/>
                <w:szCs w:val="21"/>
                <w:color w:val="auto"/>
              </w:rPr>
            </w:pPr>
          </w:p>
        </w:tc>
        <w:tc>
          <w:tcPr>
            <w:tcW w:w="44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3"/>
                <w:shd w:val="clear" w:color="auto" w:fill="EAEAEA"/>
              </w:rPr>
              <w:t>5,550</w:t>
            </w:r>
          </w:p>
        </w:tc>
        <w:tc>
          <w:tcPr>
            <w:tcW w:w="2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264,473</w:t>
            </w:r>
          </w:p>
        </w:tc>
        <w:tc>
          <w:tcPr>
            <w:tcW w:w="2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342,660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401,730</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-1782445</wp:posOffset>
            </wp:positionV>
            <wp:extent cx="3590290"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0">
                      <a:extLst>
                        <a:ext uri="{28A0092B-C50C-407E-A947-70E740481C1C}"/>
                      </a:extLst>
                    </a:blip>
                    <a:srcRect/>
                    <a:stretch>
                      <a:fillRect/>
                    </a:stretch>
                  </pic:blipFill>
                  <pic:spPr bwMode="auto">
                    <a:xfrm>
                      <a:off x="0" y="0"/>
                      <a:ext cx="3590290" cy="3492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-1017905</wp:posOffset>
            </wp:positionV>
            <wp:extent cx="25400"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1">
                      <a:extLst>
                        <a:ext uri="{28A0092B-C50C-407E-A947-70E740481C1C}"/>
                      </a:extLst>
                    </a:blip>
                    <a:srcRect/>
                    <a:stretch>
                      <a:fillRect/>
                    </a:stretch>
                  </pic:blipFill>
                  <pic:spPr bwMode="auto">
                    <a:xfrm>
                      <a:off x="0" y="0"/>
                      <a:ext cx="25400" cy="3492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-205105</wp:posOffset>
            </wp:positionV>
            <wp:extent cx="25400"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2">
                      <a:extLst>
                        <a:ext uri="{28A0092B-C50C-407E-A947-70E740481C1C}"/>
                      </a:extLst>
                    </a:blip>
                    <a:srcRect/>
                    <a:stretch>
                      <a:fillRect/>
                    </a:stretch>
                  </pic:blipFill>
                  <pic:spPr bwMode="auto">
                    <a:xfrm>
                      <a:off x="0" y="0"/>
                      <a:ext cx="25400" cy="3492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-824865</wp:posOffset>
            </wp:positionV>
            <wp:extent cx="96710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3">
                      <a:extLst>
                        <a:ext uri="{28A0092B-C50C-407E-A947-70E740481C1C}"/>
                      </a:extLst>
                    </a:blip>
                    <a:srcRect/>
                    <a:stretch>
                      <a:fillRect/>
                    </a:stretch>
                  </pic:blipFill>
                  <pic:spPr bwMode="auto">
                    <a:xfrm>
                      <a:off x="0" y="0"/>
                      <a:ext cx="967105" cy="25400"/>
                    </a:xfrm>
                    <a:prstGeom prst="rect">
                      <a:avLst/>
                    </a:prstGeom>
                    <a:noFill/>
                  </pic:spPr>
                </pic:pic>
              </a:graphicData>
            </a:graphic>
          </wp:anchor>
        </w:drawing>
      </w:r>
    </w:p>
    <w:p>
      <w:pPr>
        <w:sectPr>
          <w:pgSz w:w="12240" w:h="15840" w:orient="portrait"/>
          <w:cols w:equalWidth="0" w:num="1">
            <w:col w:w="10800"/>
          </w:cols>
          <w:pgMar w:left="720" w:top="929" w:right="720" w:bottom="199" w:gutter="0" w:footer="0" w:header="0"/>
        </w:sect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ectPr>
          <w:pgSz w:w="12240" w:h="15840" w:orient="portrait"/>
          <w:cols w:equalWidth="0" w:num="1">
            <w:col w:w="10800"/>
          </w:cols>
          <w:pgMar w:left="720" w:top="929" w:right="720" w:bottom="199"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34"/>
        </w:trPr>
        <w:tc>
          <w:tcPr>
            <w:tcW w:w="2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vMerge w:val="continue"/>
          </w:tcPr>
          <w:p>
            <w:pPr>
              <w:spacing w:after="0"/>
              <w:rPr>
                <w:sz w:val="11"/>
                <w:szCs w:val="11"/>
                <w:color w:val="auto"/>
              </w:rPr>
            </w:pPr>
          </w:p>
        </w:tc>
        <w:tc>
          <w:tcPr>
            <w:tcW w:w="920" w:type="dxa"/>
            <w:vAlign w:val="bottom"/>
            <w:gridSpan w:val="5"/>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 w:type="dxa"/>
            <w:vAlign w:val="bottom"/>
            <w:tcBorders>
              <w:bottom w:val="single" w:sz="8" w:color="EAEAEA"/>
            </w:tcBorders>
          </w:tcPr>
          <w:p>
            <w:pPr>
              <w:spacing w:after="0"/>
              <w:rPr>
                <w:sz w:val="16"/>
                <w:szCs w:val="16"/>
                <w:color w:val="auto"/>
              </w:rPr>
            </w:pPr>
          </w:p>
        </w:tc>
        <w:tc>
          <w:tcPr>
            <w:tcW w:w="7620" w:type="dxa"/>
            <w:vAlign w:val="bottom"/>
            <w:tcBorders>
              <w:bottom w:val="single" w:sz="8" w:color="EAEAEA"/>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2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Total assets:</w:t>
            </w:r>
          </w:p>
        </w:tc>
        <w:tc>
          <w:tcPr>
            <w:tcW w:w="30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3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Marine transportation</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4,705,692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4,578,616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EAEAEA"/>
            </w:tcBorders>
            <w:shd w:val="clear" w:color="auto" w:fill="EAEAEA"/>
          </w:tcPr>
          <w:p>
            <w:pPr>
              <w:spacing w:after="0"/>
              <w:rPr>
                <w:sz w:val="18"/>
                <w:szCs w:val="18"/>
                <w:color w:val="auto"/>
              </w:rPr>
            </w:pPr>
          </w:p>
        </w:tc>
        <w:tc>
          <w:tcPr>
            <w:tcW w:w="762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Distribution and services</w:t>
            </w:r>
          </w:p>
        </w:tc>
        <w:tc>
          <w:tcPr>
            <w:tcW w:w="300" w:type="dxa"/>
            <w:vAlign w:val="bottom"/>
            <w:tcBorders>
              <w:bottom w:val="single" w:sz="8" w:color="EAEAEA"/>
            </w:tcBorders>
            <w:shd w:val="clear" w:color="auto" w:fill="EAEAEA"/>
          </w:tcPr>
          <w:p>
            <w:pPr>
              <w:spacing w:after="0"/>
              <w:rPr>
                <w:sz w:val="18"/>
                <w:szCs w:val="18"/>
                <w:color w:val="auto"/>
              </w:rPr>
            </w:pPr>
          </w:p>
        </w:tc>
        <w:tc>
          <w:tcPr>
            <w:tcW w:w="1020" w:type="dxa"/>
            <w:vAlign w:val="bottom"/>
            <w:tcBorders>
              <w:bottom w:val="single" w:sz="8" w:color="EAEAEA"/>
            </w:tcBorders>
            <w:gridSpan w:val="4"/>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rPr>
              <w:t>1,111,549</w:t>
            </w:r>
          </w:p>
        </w:tc>
        <w:tc>
          <w:tcPr>
            <w:tcW w:w="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spacing w:after="0"/>
              <w:rPr>
                <w:sz w:val="18"/>
                <w:szCs w:val="18"/>
                <w:color w:val="auto"/>
              </w:rPr>
            </w:pPr>
          </w:p>
        </w:tc>
        <w:tc>
          <w:tcPr>
            <w:tcW w:w="98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rPr>
              <w:t>1,115,781</w:t>
            </w: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gridSpan w:val="2"/>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00" w:type="dxa"/>
            <w:vAlign w:val="bottom"/>
          </w:tcPr>
          <w:p>
            <w:pPr>
              <w:spacing w:after="0"/>
              <w:rPr>
                <w:sz w:val="4"/>
                <w:szCs w:val="4"/>
                <w:color w:val="auto"/>
              </w:rPr>
            </w:pPr>
          </w:p>
        </w:tc>
        <w:tc>
          <w:tcPr>
            <w:tcW w:w="76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4"/>
                <w:szCs w:val="4"/>
                <w:color w:val="auto"/>
              </w:rPr>
            </w:pPr>
          </w:p>
        </w:tc>
        <w:tc>
          <w:tcPr>
            <w:tcW w:w="40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7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2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190,804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7"/>
              </w:rPr>
              <w:t>157,555</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7620" w:type="dxa"/>
            <w:vAlign w:val="bottom"/>
            <w:tcBorders>
              <w:bottom w:val="single" w:sz="8" w:color="EAEAEA"/>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Borders>
              <w:bottom w:val="single" w:sz="8" w:color="EAEAEA"/>
            </w:tcBorders>
            <w:shd w:val="clear" w:color="auto" w:fill="EAEAEA"/>
          </w:tcPr>
          <w:p>
            <w:pPr>
              <w:spacing w:after="0"/>
              <w:rPr>
                <w:sz w:val="18"/>
                <w:szCs w:val="18"/>
                <w:color w:val="auto"/>
              </w:rPr>
            </w:pPr>
          </w:p>
        </w:tc>
        <w:tc>
          <w:tcPr>
            <w:tcW w:w="762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ind w:right="100"/>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20" w:type="dxa"/>
            <w:vAlign w:val="bottom"/>
            <w:tcBorders>
              <w:bottom w:val="single" w:sz="8" w:color="EAEAEA"/>
            </w:tcBorders>
            <w:gridSpan w:val="4"/>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6,008,045</w:t>
            </w:r>
          </w:p>
        </w:tc>
        <w:tc>
          <w:tcPr>
            <w:tcW w:w="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jc w:val="right"/>
              <w:ind w:right="140"/>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98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5,851,952</w:t>
            </w: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The following table presents the details of “Other” total assets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0" w:type="dxa"/>
            <w:vAlign w:val="bottom"/>
          </w:tcPr>
          <w:p>
            <w:pPr>
              <w:spacing w:after="0"/>
              <w:rPr>
                <w:sz w:val="24"/>
                <w:szCs w:val="24"/>
                <w:color w:val="auto"/>
              </w:rPr>
            </w:pPr>
          </w:p>
        </w:tc>
        <w:tc>
          <w:tcPr>
            <w:tcW w:w="7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vMerge w:val="restart"/>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gridSpan w:val="4"/>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vMerge w:val="continue"/>
          </w:tcPr>
          <w:p>
            <w:pPr>
              <w:spacing w:after="0"/>
              <w:rPr>
                <w:sz w:val="11"/>
                <w:szCs w:val="11"/>
                <w:color w:val="auto"/>
              </w:rPr>
            </w:pPr>
          </w:p>
        </w:tc>
        <w:tc>
          <w:tcPr>
            <w:tcW w:w="920" w:type="dxa"/>
            <w:vAlign w:val="bottom"/>
            <w:gridSpan w:val="5"/>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 w:type="dxa"/>
            <w:vAlign w:val="bottom"/>
            <w:tcBorders>
              <w:bottom w:val="single" w:sz="8" w:color="EAEAEA"/>
            </w:tcBorders>
          </w:tcPr>
          <w:p>
            <w:pPr>
              <w:spacing w:after="0"/>
              <w:rPr>
                <w:sz w:val="16"/>
                <w:szCs w:val="16"/>
                <w:color w:val="auto"/>
              </w:rPr>
            </w:pPr>
          </w:p>
        </w:tc>
        <w:tc>
          <w:tcPr>
            <w:tcW w:w="7620" w:type="dxa"/>
            <w:vAlign w:val="bottom"/>
            <w:tcBorders>
              <w:bottom w:val="single" w:sz="8" w:color="EAEAEA"/>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20" w:type="dxa"/>
            <w:vAlign w:val="bottom"/>
            <w:tcBorders>
              <w:bottom w:val="single" w:sz="8" w:color="EAEAEA"/>
            </w:tcBorders>
            <w:gridSpan w:val="2"/>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General corporate assets</w:t>
            </w:r>
          </w:p>
        </w:tc>
        <w:tc>
          <w:tcPr>
            <w:tcW w:w="300" w:type="dxa"/>
            <w:vAlign w:val="bottom"/>
            <w:tcBorders>
              <w:bottom w:val="single" w:sz="8" w:color="EAEAEA"/>
            </w:tcBorders>
            <w:shd w:val="clear" w:color="auto" w:fill="EAEAEA"/>
          </w:tcPr>
          <w:p>
            <w:pPr>
              <w:jc w:val="right"/>
              <w:ind w:right="100"/>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0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gridSpan w:val="3"/>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92"/>
                <w:shd w:val="clear" w:color="auto" w:fill="EAEAEA"/>
              </w:rPr>
              <w:t>187,616</w:t>
            </w: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jc w:val="right"/>
              <w:ind w:right="140"/>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36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gridSpan w:val="2"/>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92"/>
                <w:shd w:val="clear" w:color="auto" w:fill="EAEAEA"/>
              </w:rPr>
              <w:t>154,655</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782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Investment in affiliates</w:t>
            </w:r>
          </w:p>
        </w:tc>
        <w:tc>
          <w:tcPr>
            <w:tcW w:w="300" w:type="dxa"/>
            <w:vAlign w:val="bottom"/>
          </w:tcPr>
          <w:p>
            <w:pPr>
              <w:spacing w:after="0"/>
              <w:rPr>
                <w:sz w:val="4"/>
                <w:szCs w:val="4"/>
                <w:color w:val="auto"/>
              </w:rPr>
            </w:pPr>
          </w:p>
        </w:tc>
        <w:tc>
          <w:tcPr>
            <w:tcW w:w="600" w:type="dxa"/>
            <w:vAlign w:val="bottom"/>
            <w:gridSpan w:val="2"/>
            <w:vMerge w:val="restart"/>
          </w:tcPr>
          <w:p>
            <w:pPr>
              <w:spacing w:after="0"/>
              <w:rPr>
                <w:sz w:val="4"/>
                <w:szCs w:val="4"/>
                <w:color w:val="auto"/>
              </w:rPr>
            </w:pPr>
          </w:p>
        </w:tc>
        <w:tc>
          <w:tcPr>
            <w:tcW w:w="42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gridSpan w:val="2"/>
            <w:vMerge w:val="restart"/>
          </w:tcPr>
          <w:p>
            <w:pPr>
              <w:spacing w:after="0"/>
              <w:rPr>
                <w:sz w:val="4"/>
                <w:szCs w:val="4"/>
                <w:color w:val="auto"/>
              </w:rPr>
            </w:pPr>
          </w:p>
        </w:tc>
        <w:tc>
          <w:tcPr>
            <w:tcW w:w="46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2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3"/>
              </w:rPr>
              <w:t>3,188</w:t>
            </w: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60" w:type="dxa"/>
            <w:vAlign w:val="bottom"/>
            <w:gridSpan w:val="2"/>
          </w:tcPr>
          <w:p>
            <w:pPr>
              <w:jc w:val="right"/>
              <w:ind w:right="20"/>
              <w:spacing w:after="0" w:line="168" w:lineRule="exact"/>
              <w:rPr>
                <w:sz w:val="20"/>
                <w:szCs w:val="20"/>
                <w:color w:val="auto"/>
              </w:rPr>
            </w:pPr>
            <w:r>
              <w:rPr>
                <w:rFonts w:ascii="Times New Roman" w:cs="Times New Roman" w:eastAsia="Times New Roman" w:hAnsi="Times New Roman"/>
                <w:sz w:val="19"/>
                <w:szCs w:val="19"/>
                <w:color w:val="auto"/>
                <w:highlight w:val="white"/>
                <w:w w:val="98"/>
              </w:rPr>
              <w:t>2,900</w:t>
            </w:r>
          </w:p>
        </w:tc>
        <w:tc>
          <w:tcPr>
            <w:tcW w:w="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7620" w:type="dxa"/>
            <w:vAlign w:val="bottom"/>
            <w:tcBorders>
              <w:bottom w:val="single" w:sz="8" w:color="EAEAEA"/>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Borders>
              <w:bottom w:val="single" w:sz="8" w:color="EAEAEA"/>
            </w:tcBorders>
            <w:shd w:val="clear" w:color="auto" w:fill="EAEAEA"/>
          </w:tcPr>
          <w:p>
            <w:pPr>
              <w:spacing w:after="0"/>
              <w:rPr>
                <w:sz w:val="18"/>
                <w:szCs w:val="18"/>
                <w:color w:val="auto"/>
              </w:rPr>
            </w:pPr>
          </w:p>
        </w:tc>
        <w:tc>
          <w:tcPr>
            <w:tcW w:w="762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ind w:right="100"/>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00" w:type="dxa"/>
            <w:vAlign w:val="bottom"/>
            <w:tcBorders>
              <w:bottom w:val="single" w:sz="8" w:color="EAEAEA"/>
            </w:tcBorders>
            <w:shd w:val="clear" w:color="auto" w:fill="EAEAEA"/>
          </w:tcPr>
          <w:p>
            <w:pPr>
              <w:spacing w:after="0"/>
              <w:rPr>
                <w:sz w:val="18"/>
                <w:szCs w:val="18"/>
                <w:color w:val="auto"/>
              </w:rPr>
            </w:pPr>
          </w:p>
        </w:tc>
        <w:tc>
          <w:tcPr>
            <w:tcW w:w="62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w w:val="92"/>
                <w:shd w:val="clear" w:color="auto" w:fill="EAEAEA"/>
              </w:rPr>
              <w:t>190,804</w:t>
            </w:r>
          </w:p>
        </w:tc>
        <w:tc>
          <w:tcPr>
            <w:tcW w:w="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jc w:val="right"/>
              <w:ind w:right="140"/>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360" w:type="dxa"/>
            <w:vAlign w:val="bottom"/>
            <w:tcBorders>
              <w:bottom w:val="single" w:sz="8" w:color="EAEAEA"/>
            </w:tcBorders>
            <w:shd w:val="clear" w:color="auto" w:fill="EAEAEA"/>
          </w:tcPr>
          <w:p>
            <w:pPr>
              <w:spacing w:after="0"/>
              <w:rPr>
                <w:sz w:val="18"/>
                <w:szCs w:val="18"/>
                <w:color w:val="auto"/>
              </w:rPr>
            </w:pPr>
          </w:p>
        </w:tc>
        <w:tc>
          <w:tcPr>
            <w:tcW w:w="620" w:type="dxa"/>
            <w:vAlign w:val="bottom"/>
            <w:tcBorders>
              <w:bottom w:val="single" w:sz="8" w:color="EAEAEA"/>
            </w:tcBorders>
            <w:gridSpan w:val="2"/>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w w:val="92"/>
                <w:shd w:val="clear" w:color="auto" w:fill="EAEAEA"/>
              </w:rPr>
              <w:t>157,555</w:t>
            </w: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4956175</wp:posOffset>
            </wp:positionH>
            <wp:positionV relativeFrom="paragraph">
              <wp:posOffset>-2083435</wp:posOffset>
            </wp:positionV>
            <wp:extent cx="1873250"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4">
                      <a:extLst>
                        <a:ext uri="{28A0092B-C50C-407E-A947-70E740481C1C}"/>
                      </a:extLst>
                    </a:blip>
                    <a:srcRect/>
                    <a:stretch>
                      <a:fillRect/>
                    </a:stretch>
                  </pic:blipFill>
                  <pic:spPr bwMode="auto">
                    <a:xfrm>
                      <a:off x="0" y="0"/>
                      <a:ext cx="1873250" cy="34925"/>
                    </a:xfrm>
                    <a:prstGeom prst="rect">
                      <a:avLst/>
                    </a:prstGeom>
                    <a:noFill/>
                  </pic:spPr>
                </pic:pic>
              </a:graphicData>
            </a:graphic>
          </wp:anchor>
        </w:drawing>
        <w:drawing>
          <wp:anchor simplePos="0" relativeHeight="251657728" behindDoc="1" locked="0" layoutInCell="0" allowOverlap="1">
            <wp:simplePos x="0" y="0"/>
            <wp:positionH relativeFrom="column">
              <wp:posOffset>4956175</wp:posOffset>
            </wp:positionH>
            <wp:positionV relativeFrom="paragraph">
              <wp:posOffset>-624205</wp:posOffset>
            </wp:positionV>
            <wp:extent cx="1873250"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5">
                      <a:extLst>
                        <a:ext uri="{28A0092B-C50C-407E-A947-70E740481C1C}"/>
                      </a:extLst>
                    </a:blip>
                    <a:srcRect/>
                    <a:stretch>
                      <a:fillRect/>
                    </a:stretch>
                  </pic:blipFill>
                  <pic:spPr bwMode="auto">
                    <a:xfrm>
                      <a:off x="0" y="0"/>
                      <a:ext cx="1873250" cy="3492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Long-Term Debt</w:t>
      </w:r>
    </w:p>
    <w:p>
      <w:pPr>
        <w:spacing w:after="0" w:line="203" w:lineRule="exact"/>
        <w:rPr>
          <w:sz w:val="20"/>
          <w:szCs w:val="20"/>
          <w:color w:val="auto"/>
        </w:rPr>
      </w:pPr>
    </w:p>
    <w:p>
      <w:pPr>
        <w:jc w:val="both"/>
        <w:ind w:firstLine="358"/>
        <w:spacing w:after="0" w:line="278" w:lineRule="auto"/>
        <w:rPr>
          <w:sz w:val="20"/>
          <w:szCs w:val="20"/>
          <w:color w:val="auto"/>
        </w:rPr>
      </w:pPr>
      <w:r>
        <w:rPr>
          <w:rFonts w:ascii="Times New Roman" w:cs="Times New Roman" w:eastAsia="Times New Roman" w:hAnsi="Times New Roman"/>
          <w:sz w:val="20"/>
          <w:szCs w:val="20"/>
          <w:color w:val="auto"/>
        </w:rPr>
        <w:t>The following table presents the carrying value and fair value (determined using inputs characteristic of a Level 2 fair value measurement) of debt outstanding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gridSpan w:val="5"/>
          </w:tcPr>
          <w:p>
            <w:pP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8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20" w:type="dxa"/>
            <w:vAlign w:val="bottom"/>
            <w:gridSpan w:val="2"/>
            <w:vMerge w:val="restart"/>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36"/>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7"/>
              </w:rPr>
              <w:t>Carrying Value</w:t>
            </w: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7"/>
              </w:rPr>
              <w:t>Carrying Value</w:t>
            </w: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740" w:type="dxa"/>
            <w:vAlign w:val="bottom"/>
            <w:tcBorders>
              <w:top w:val="single" w:sz="8" w:color="EAEAEA"/>
              <w:bottom w:val="single" w:sz="8" w:color="EAEAEA"/>
            </w:tcBorders>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Revolving Credit Facility due July 29, 2027 (a)</w:t>
            </w:r>
          </w:p>
        </w:tc>
        <w:tc>
          <w:tcPr>
            <w:tcW w:w="120" w:type="dxa"/>
            <w:vAlign w:val="bottom"/>
            <w:tcBorders>
              <w:top w:val="single" w:sz="8" w:color="auto"/>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180" w:type="dxa"/>
            <w:vAlign w:val="bottom"/>
            <w:tcBorders>
              <w:top w:val="single" w:sz="8" w:color="auto"/>
              <w:bottom w:val="single" w:sz="8" w:color="EAEAEA"/>
            </w:tcBorders>
            <w:gridSpan w:val="2"/>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45,000</w:t>
            </w:r>
          </w:p>
        </w:tc>
        <w:tc>
          <w:tcPr>
            <w:tcW w:w="120" w:type="dxa"/>
            <w:vAlign w:val="bottom"/>
            <w:tcBorders>
              <w:top w:val="single" w:sz="8" w:color="EAEAEA"/>
              <w:bottom w:val="single" w:sz="8" w:color="EAEAEA"/>
            </w:tcBorders>
            <w:shd w:val="clear" w:color="auto" w:fill="EAEAEA"/>
          </w:tcPr>
          <w:p>
            <w:pPr>
              <w:spacing w:after="0"/>
              <w:rPr>
                <w:sz w:val="17"/>
                <w:szCs w:val="17"/>
                <w:color w:val="auto"/>
              </w:rPr>
            </w:pPr>
          </w:p>
        </w:tc>
        <w:tc>
          <w:tcPr>
            <w:tcW w:w="140" w:type="dxa"/>
            <w:vAlign w:val="bottom"/>
            <w:tcBorders>
              <w:top w:val="single" w:sz="8" w:color="EAEAEA"/>
              <w:bottom w:val="single" w:sz="8" w:color="EAEAEA"/>
            </w:tcBorders>
            <w:shd w:val="clear" w:color="auto" w:fill="EAEAEA"/>
          </w:tcPr>
          <w:p>
            <w:pPr>
              <w:spacing w:after="0"/>
              <w:rPr>
                <w:sz w:val="17"/>
                <w:szCs w:val="17"/>
                <w:color w:val="auto"/>
              </w:rPr>
            </w:pPr>
          </w:p>
        </w:tc>
        <w:tc>
          <w:tcPr>
            <w:tcW w:w="200" w:type="dxa"/>
            <w:vAlign w:val="bottom"/>
            <w:tcBorders>
              <w:top w:val="single" w:sz="8" w:color="auto"/>
              <w:bottom w:val="single" w:sz="8" w:color="EAEAEA"/>
            </w:tcBorders>
            <w:shd w:val="clear" w:color="auto" w:fill="EAEAEA"/>
          </w:tcPr>
          <w:p>
            <w:pPr>
              <w:jc w:val="right"/>
              <w:ind w:right="3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120" w:type="dxa"/>
            <w:vAlign w:val="bottom"/>
            <w:tcBorders>
              <w:top w:val="single" w:sz="8" w:color="auto"/>
              <w:bottom w:val="single" w:sz="8" w:color="EAEAEA"/>
            </w:tcBorders>
            <w:gridSpan w:val="2"/>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45,000</w:t>
            </w:r>
          </w:p>
        </w:tc>
        <w:tc>
          <w:tcPr>
            <w:tcW w:w="100" w:type="dxa"/>
            <w:vAlign w:val="bottom"/>
            <w:tcBorders>
              <w:top w:val="single" w:sz="8" w:color="EAEAEA"/>
              <w:bottom w:val="single" w:sz="8" w:color="EAEAEA"/>
            </w:tcBorders>
            <w:shd w:val="clear" w:color="auto" w:fill="EAEAEA"/>
          </w:tcPr>
          <w:p>
            <w:pPr>
              <w:spacing w:after="0"/>
              <w:rPr>
                <w:sz w:val="17"/>
                <w:szCs w:val="17"/>
                <w:color w:val="auto"/>
              </w:rPr>
            </w:pPr>
          </w:p>
        </w:tc>
        <w:tc>
          <w:tcPr>
            <w:tcW w:w="140" w:type="dxa"/>
            <w:vAlign w:val="bottom"/>
            <w:tcBorders>
              <w:top w:val="single" w:sz="8" w:color="EAEAEA"/>
              <w:bottom w:val="single" w:sz="8" w:color="EAEAEA"/>
            </w:tcBorders>
            <w:shd w:val="clear" w:color="auto" w:fill="EAEAEA"/>
          </w:tcPr>
          <w:p>
            <w:pPr>
              <w:spacing w:after="0"/>
              <w:rPr>
                <w:sz w:val="17"/>
                <w:szCs w:val="17"/>
                <w:color w:val="auto"/>
              </w:rPr>
            </w:pPr>
          </w:p>
        </w:tc>
        <w:tc>
          <w:tcPr>
            <w:tcW w:w="120" w:type="dxa"/>
            <w:vAlign w:val="bottom"/>
            <w:tcBorders>
              <w:top w:val="single" w:sz="8" w:color="auto"/>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20" w:type="dxa"/>
            <w:vAlign w:val="bottom"/>
            <w:tcBorders>
              <w:top w:val="single" w:sz="8" w:color="auto"/>
              <w:bottom w:val="single" w:sz="8" w:color="EAEAEA"/>
            </w:tcBorders>
            <w:shd w:val="clear" w:color="auto" w:fill="EAEAEA"/>
          </w:tcPr>
          <w:p>
            <w:pPr>
              <w:spacing w:after="0"/>
              <w:rPr>
                <w:sz w:val="17"/>
                <w:szCs w:val="17"/>
                <w:color w:val="auto"/>
              </w:rPr>
            </w:pPr>
          </w:p>
        </w:tc>
        <w:tc>
          <w:tcPr>
            <w:tcW w:w="840" w:type="dxa"/>
            <w:vAlign w:val="bottom"/>
            <w:tcBorders>
              <w:top w:val="single" w:sz="8" w:color="auto"/>
              <w:bottom w:val="single" w:sz="8" w:color="EAEAEA"/>
            </w:tcBorders>
            <w:shd w:val="clear" w:color="auto" w:fill="EAEAEA"/>
          </w:tcPr>
          <w:p>
            <w:pPr>
              <w:spacing w:after="0"/>
              <w:rPr>
                <w:sz w:val="17"/>
                <w:szCs w:val="17"/>
                <w:color w:val="auto"/>
              </w:rPr>
            </w:pPr>
          </w:p>
        </w:tc>
        <w:tc>
          <w:tcPr>
            <w:tcW w:w="120" w:type="dxa"/>
            <w:vAlign w:val="bottom"/>
            <w:tcBorders>
              <w:top w:val="single" w:sz="8" w:color="auto"/>
              <w:bottom w:val="single" w:sz="8" w:color="EAEAEA"/>
            </w:tcBorders>
            <w:shd w:val="clear" w:color="auto" w:fill="EAEAEA"/>
          </w:tcPr>
          <w:p>
            <w:pPr>
              <w:spacing w:after="0"/>
              <w:rPr>
                <w:sz w:val="17"/>
                <w:szCs w:val="17"/>
                <w:color w:val="auto"/>
              </w:rPr>
            </w:pPr>
          </w:p>
        </w:tc>
        <w:tc>
          <w:tcPr>
            <w:tcW w:w="120" w:type="dxa"/>
            <w:vAlign w:val="bottom"/>
            <w:tcBorders>
              <w:top w:val="single" w:sz="8" w:color="EAEAEA"/>
              <w:bottom w:val="single" w:sz="8" w:color="EAEAEA"/>
            </w:tcBorders>
            <w:shd w:val="clear" w:color="auto" w:fill="EAEAEA"/>
          </w:tcPr>
          <w:p>
            <w:pPr>
              <w:spacing w:after="0"/>
              <w:rPr>
                <w:sz w:val="17"/>
                <w:szCs w:val="17"/>
                <w:color w:val="auto"/>
              </w:rPr>
            </w:pPr>
          </w:p>
        </w:tc>
        <w:tc>
          <w:tcPr>
            <w:tcW w:w="140" w:type="dxa"/>
            <w:vAlign w:val="bottom"/>
            <w:tcBorders>
              <w:top w:val="single" w:sz="8" w:color="EAEAEA"/>
              <w:bottom w:val="single" w:sz="8" w:color="EAEAEA"/>
            </w:tcBorders>
            <w:shd w:val="clear" w:color="auto" w:fill="EAEAEA"/>
          </w:tcPr>
          <w:p>
            <w:pPr>
              <w:spacing w:after="0"/>
              <w:rPr>
                <w:sz w:val="17"/>
                <w:szCs w:val="17"/>
                <w:color w:val="auto"/>
              </w:rPr>
            </w:pPr>
          </w:p>
        </w:tc>
        <w:tc>
          <w:tcPr>
            <w:tcW w:w="100" w:type="dxa"/>
            <w:vAlign w:val="bottom"/>
            <w:tcBorders>
              <w:top w:val="single" w:sz="8" w:color="auto"/>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20" w:type="dxa"/>
            <w:vAlign w:val="bottom"/>
            <w:tcBorders>
              <w:top w:val="single" w:sz="8" w:color="auto"/>
              <w:bottom w:val="single" w:sz="8" w:color="EAEAEA"/>
            </w:tcBorders>
            <w:shd w:val="clear" w:color="auto" w:fill="EAEAEA"/>
          </w:tcPr>
          <w:p>
            <w:pPr>
              <w:spacing w:after="0"/>
              <w:rPr>
                <w:sz w:val="17"/>
                <w:szCs w:val="17"/>
                <w:color w:val="auto"/>
              </w:rPr>
            </w:pPr>
          </w:p>
        </w:tc>
        <w:tc>
          <w:tcPr>
            <w:tcW w:w="60" w:type="dxa"/>
            <w:vAlign w:val="bottom"/>
            <w:tcBorders>
              <w:top w:val="single" w:sz="8" w:color="EAEAEA"/>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Term Loan due July 29, 2027 (a)</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4.2% senior notes due March 1, 2028</w:t>
            </w:r>
          </w:p>
        </w:tc>
        <w:tc>
          <w:tcPr>
            <w:tcW w:w="12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500,000</w:t>
            </w:r>
          </w:p>
        </w:tc>
        <w:tc>
          <w:tcPr>
            <w:tcW w:w="12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12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506,089</w:t>
            </w: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96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500,000</w:t>
            </w:r>
          </w:p>
        </w:tc>
        <w:tc>
          <w:tcPr>
            <w:tcW w:w="12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2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491,923</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3.46% senior notes due January 19, 2033</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55,093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3.51% senior notes due January 19, 2033</w:t>
            </w:r>
          </w:p>
        </w:tc>
        <w:tc>
          <w:tcPr>
            <w:tcW w:w="12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240,000</w:t>
            </w:r>
          </w:p>
        </w:tc>
        <w:tc>
          <w:tcPr>
            <w:tcW w:w="12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12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221,128</w:t>
            </w: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96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240,000</w:t>
            </w:r>
          </w:p>
        </w:tc>
        <w:tc>
          <w:tcPr>
            <w:tcW w:w="12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2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212,650</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Credit Line due June 30, 2026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Bank notes payable</w:t>
            </w:r>
          </w:p>
        </w:tc>
        <w:tc>
          <w:tcPr>
            <w:tcW w:w="120" w:type="dxa"/>
            <w:vAlign w:val="bottom"/>
            <w:tcBorders>
              <w:bottom w:val="single" w:sz="8" w:color="auto"/>
            </w:tcBorders>
            <w:shd w:val="clear" w:color="auto" w:fill="EAEAEA"/>
          </w:tcPr>
          <w:p>
            <w:pPr>
              <w:spacing w:after="0"/>
              <w:rPr>
                <w:sz w:val="19"/>
                <w:szCs w:val="19"/>
                <w:color w:val="auto"/>
              </w:rPr>
            </w:pPr>
          </w:p>
        </w:tc>
        <w:tc>
          <w:tcPr>
            <w:tcW w:w="1180" w:type="dxa"/>
            <w:vAlign w:val="bottom"/>
            <w:tcBorders>
              <w:bottom w:val="single" w:sz="8" w:color="auto"/>
            </w:tcBorders>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7,357</w:t>
            </w:r>
          </w:p>
        </w:tc>
        <w:tc>
          <w:tcPr>
            <w:tcW w:w="1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00" w:type="dxa"/>
            <w:vAlign w:val="bottom"/>
            <w:tcBorders>
              <w:bottom w:val="single" w:sz="8" w:color="auto"/>
            </w:tcBorders>
            <w:shd w:val="clear" w:color="auto" w:fill="EAEAEA"/>
          </w:tcPr>
          <w:p>
            <w:pPr>
              <w:spacing w:after="0"/>
              <w:rPr>
                <w:sz w:val="19"/>
                <w:szCs w:val="19"/>
                <w:color w:val="auto"/>
              </w:rPr>
            </w:pPr>
          </w:p>
        </w:tc>
        <w:tc>
          <w:tcPr>
            <w:tcW w:w="1120" w:type="dxa"/>
            <w:vAlign w:val="bottom"/>
            <w:tcBorders>
              <w:bottom w:val="single" w:sz="8" w:color="auto"/>
            </w:tcBorders>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7,357</w:t>
            </w:r>
          </w:p>
        </w:tc>
        <w:tc>
          <w:tcPr>
            <w:tcW w:w="10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tcBorders>
              <w:bottom w:val="single" w:sz="8" w:color="auto"/>
            </w:tcBorders>
            <w:shd w:val="clear" w:color="auto" w:fill="EAEAEA"/>
          </w:tcPr>
          <w:p>
            <w:pPr>
              <w:spacing w:after="0"/>
              <w:rPr>
                <w:sz w:val="19"/>
                <w:szCs w:val="19"/>
                <w:color w:val="auto"/>
              </w:rPr>
            </w:pPr>
          </w:p>
        </w:tc>
        <w:tc>
          <w:tcPr>
            <w:tcW w:w="220" w:type="dxa"/>
            <w:vAlign w:val="bottom"/>
            <w:tcBorders>
              <w:bottom w:val="single" w:sz="8" w:color="auto"/>
            </w:tcBorders>
            <w:shd w:val="clear" w:color="auto" w:fill="EAEAEA"/>
          </w:tcPr>
          <w:p>
            <w:pPr>
              <w:spacing w:after="0"/>
              <w:rPr>
                <w:sz w:val="19"/>
                <w:szCs w:val="19"/>
                <w:color w:val="auto"/>
              </w:rPr>
            </w:pPr>
          </w:p>
        </w:tc>
        <w:tc>
          <w:tcPr>
            <w:tcW w:w="960" w:type="dxa"/>
            <w:vAlign w:val="bottom"/>
            <w:tcBorders>
              <w:bottom w:val="single" w:sz="8" w:color="auto"/>
            </w:tcBorders>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8,226</w:t>
            </w:r>
          </w:p>
        </w:tc>
        <w:tc>
          <w:tcPr>
            <w:tcW w:w="1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00" w:type="dxa"/>
            <w:vAlign w:val="bottom"/>
            <w:tcBorders>
              <w:bottom w:val="single" w:sz="8" w:color="auto"/>
            </w:tcBorders>
            <w:shd w:val="clear" w:color="auto" w:fill="EAEAEA"/>
          </w:tcPr>
          <w:p>
            <w:pPr>
              <w:spacing w:after="0"/>
              <w:rPr>
                <w:sz w:val="19"/>
                <w:szCs w:val="19"/>
                <w:color w:val="auto"/>
              </w:rPr>
            </w:pPr>
          </w:p>
        </w:tc>
        <w:tc>
          <w:tcPr>
            <w:tcW w:w="1220" w:type="dxa"/>
            <w:vAlign w:val="bottom"/>
            <w:tcBorders>
              <w:bottom w:val="single" w:sz="8" w:color="auto"/>
            </w:tcBorders>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8,226</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922,357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904,667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878,226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Unamortized debt discounts and issuance costs (b)</w:t>
            </w:r>
          </w:p>
        </w:tc>
        <w:tc>
          <w:tcPr>
            <w:tcW w:w="120" w:type="dxa"/>
            <w:vAlign w:val="bottom"/>
            <w:tcBorders>
              <w:bottom w:val="single" w:sz="8" w:color="auto"/>
            </w:tcBorders>
            <w:shd w:val="clear" w:color="auto" w:fill="EAEAEA"/>
          </w:tcPr>
          <w:p>
            <w:pPr>
              <w:spacing w:after="0"/>
              <w:rPr>
                <w:sz w:val="20"/>
                <w:szCs w:val="20"/>
                <w:color w:val="auto"/>
              </w:rPr>
            </w:pPr>
          </w:p>
        </w:tc>
        <w:tc>
          <w:tcPr>
            <w:tcW w:w="1180" w:type="dxa"/>
            <w:vAlign w:val="bottom"/>
            <w:tcBorders>
              <w:bottom w:val="single" w:sz="8" w:color="auto"/>
            </w:tcBorders>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(3,076</w:t>
            </w:r>
          </w:p>
        </w:tc>
        <w:tc>
          <w:tcPr>
            <w:tcW w:w="1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w:t>
            </w:r>
          </w:p>
        </w:tc>
        <w:tc>
          <w:tcPr>
            <w:tcW w:w="140" w:type="dxa"/>
            <w:vAlign w:val="bottom"/>
            <w:shd w:val="clear" w:color="auto" w:fill="EAEAEA"/>
          </w:tcPr>
          <w:p>
            <w:pPr>
              <w:spacing w:after="0"/>
              <w:rPr>
                <w:sz w:val="20"/>
                <w:szCs w:val="20"/>
                <w:color w:val="auto"/>
              </w:rPr>
            </w:pPr>
          </w:p>
        </w:tc>
        <w:tc>
          <w:tcPr>
            <w:tcW w:w="200" w:type="dxa"/>
            <w:vAlign w:val="bottom"/>
            <w:tcBorders>
              <w:bottom w:val="single" w:sz="8" w:color="auto"/>
            </w:tcBorders>
            <w:shd w:val="clear" w:color="auto" w:fill="EAEAEA"/>
          </w:tcPr>
          <w:p>
            <w:pPr>
              <w:spacing w:after="0"/>
              <w:rPr>
                <w:sz w:val="20"/>
                <w:szCs w:val="20"/>
                <w:color w:val="auto"/>
              </w:rPr>
            </w:pPr>
          </w:p>
        </w:tc>
        <w:tc>
          <w:tcPr>
            <w:tcW w:w="780" w:type="dxa"/>
            <w:vAlign w:val="bottom"/>
            <w:tcBorders>
              <w:bottom w:val="single" w:sz="8" w:color="auto"/>
            </w:tcBorders>
            <w:shd w:val="clear" w:color="auto" w:fill="EAEAEA"/>
          </w:tcPr>
          <w:p>
            <w:pPr>
              <w:spacing w:after="0"/>
              <w:rPr>
                <w:sz w:val="20"/>
                <w:szCs w:val="20"/>
                <w:color w:val="auto"/>
              </w:rPr>
            </w:pPr>
          </w:p>
        </w:tc>
        <w:tc>
          <w:tcPr>
            <w:tcW w:w="340" w:type="dxa"/>
            <w:vAlign w:val="bottom"/>
            <w:tcBorders>
              <w:bottom w:val="single" w:sz="8" w:color="auto"/>
            </w:tcBorders>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20" w:type="dxa"/>
            <w:vAlign w:val="bottom"/>
            <w:tcBorders>
              <w:bottom w:val="single" w:sz="8" w:color="auto"/>
            </w:tcBorders>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spacing w:after="0"/>
              <w:rPr>
                <w:sz w:val="20"/>
                <w:szCs w:val="20"/>
                <w:color w:val="auto"/>
              </w:rPr>
            </w:pPr>
          </w:p>
        </w:tc>
        <w:tc>
          <w:tcPr>
            <w:tcW w:w="960" w:type="dxa"/>
            <w:vAlign w:val="bottom"/>
            <w:tcBorders>
              <w:bottom w:val="single" w:sz="8" w:color="auto"/>
            </w:tcBorders>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(3,278</w:t>
            </w:r>
          </w:p>
        </w:tc>
        <w:tc>
          <w:tcPr>
            <w:tcW w:w="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140" w:type="dxa"/>
            <w:vAlign w:val="bottom"/>
            <w:shd w:val="clear" w:color="auto" w:fill="EAEAEA"/>
          </w:tcPr>
          <w:p>
            <w:pPr>
              <w:spacing w:after="0"/>
              <w:rPr>
                <w:sz w:val="20"/>
                <w:szCs w:val="20"/>
                <w:color w:val="auto"/>
              </w:rPr>
            </w:pPr>
          </w:p>
        </w:tc>
        <w:tc>
          <w:tcPr>
            <w:tcW w:w="100" w:type="dxa"/>
            <w:vAlign w:val="bottom"/>
            <w:tcBorders>
              <w:bottom w:val="single" w:sz="8" w:color="auto"/>
            </w:tcBorders>
            <w:shd w:val="clear" w:color="auto" w:fill="EAEAEA"/>
          </w:tcPr>
          <w:p>
            <w:pPr>
              <w:spacing w:after="0"/>
              <w:rPr>
                <w:sz w:val="20"/>
                <w:szCs w:val="20"/>
                <w:color w:val="auto"/>
              </w:rPr>
            </w:pPr>
          </w:p>
        </w:tc>
        <w:tc>
          <w:tcPr>
            <w:tcW w:w="1220" w:type="dxa"/>
            <w:vAlign w:val="bottom"/>
            <w:tcBorders>
              <w:bottom w:val="single" w:sz="8" w:color="auto"/>
            </w:tcBorders>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919,281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904,667</w:t>
            </w:r>
          </w:p>
        </w:tc>
        <w:tc>
          <w:tcPr>
            <w:tcW w:w="24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874,948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835,755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-1782445</wp:posOffset>
            </wp:positionV>
            <wp:extent cx="3827780"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6">
                      <a:extLst>
                        <a:ext uri="{28A0092B-C50C-407E-A947-70E740481C1C}"/>
                      </a:extLst>
                    </a:blip>
                    <a:srcRect/>
                    <a:stretch>
                      <a:fillRect/>
                    </a:stretch>
                  </pic:blipFill>
                  <pic:spPr bwMode="auto">
                    <a:xfrm>
                      <a:off x="0" y="0"/>
                      <a:ext cx="3827780" cy="3492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-1656080</wp:posOffset>
            </wp:positionV>
            <wp:extent cx="3827780"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7">
                      <a:extLst>
                        <a:ext uri="{28A0092B-C50C-407E-A947-70E740481C1C}"/>
                      </a:extLst>
                    </a:blip>
                    <a:srcRect/>
                    <a:stretch>
                      <a:fillRect/>
                    </a:stretch>
                  </pic:blipFill>
                  <pic:spPr bwMode="auto">
                    <a:xfrm>
                      <a:off x="0" y="0"/>
                      <a:ext cx="3827780" cy="34925"/>
                    </a:xfrm>
                    <a:prstGeom prst="rect">
                      <a:avLst/>
                    </a:prstGeom>
                    <a:noFill/>
                  </pic:spPr>
                </pic:pic>
              </a:graphicData>
            </a:graphic>
          </wp:anchor>
        </w:drawing>
      </w:r>
    </w:p>
    <w:p>
      <w:pPr>
        <w:spacing w:after="0" w:line="194" w:lineRule="exact"/>
        <w:rPr>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interest rate of 5.0% and 5.6% at December 31, 2025 and 2024, respectively.</w:t>
      </w:r>
    </w:p>
    <w:p>
      <w:pPr>
        <w:spacing w:after="0" w:line="22" w:lineRule="exact"/>
        <w:rPr>
          <w:rFonts w:ascii="Times New Roman" w:cs="Times New Roman" w:eastAsia="Times New Roman" w:hAnsi="Times New Roman"/>
          <w:sz w:val="16"/>
          <w:szCs w:val="16"/>
          <w:color w:val="auto"/>
        </w:rPr>
      </w:pPr>
    </w:p>
    <w:p>
      <w:pPr>
        <w:ind w:left="720" w:hanging="360"/>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$1.0 million attributable to the 2027 Revolving Credit Facility included in other assets at December 31, 2024.</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aggregate payments due on the long-term debt in each of the next five years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40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2026</w:t>
            </w: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7,357</w:t>
            </w:r>
          </w:p>
        </w:tc>
        <w:tc>
          <w:tcPr>
            <w:tcW w:w="60" w:type="dxa"/>
            <w:vAlign w:val="bottom"/>
            <w:tcBorders>
              <w:bottom w:val="single" w:sz="8" w:color="EAEAEA"/>
            </w:tcBorders>
            <w:shd w:val="clear" w:color="auto" w:fill="EAEAEA"/>
          </w:tcPr>
          <w:p>
            <w:pPr>
              <w:spacing w:after="0"/>
              <w:rPr>
                <w:sz w:val="21"/>
                <w:szCs w:val="21"/>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c>
          <w:tcPr>
            <w:tcW w:w="60" w:type="dxa"/>
            <w:vAlign w:val="bottom"/>
          </w:tcPr>
          <w:p>
            <w:pPr>
              <w:spacing w:after="0"/>
              <w:rPr>
                <w:sz w:val="20"/>
                <w:szCs w:val="20"/>
                <w:color w:val="auto"/>
              </w:rPr>
            </w:pPr>
          </w:p>
        </w:tc>
      </w:tr>
      <w:tr>
        <w:trPr>
          <w:trHeight w:val="210"/>
        </w:trPr>
        <w:tc>
          <w:tcPr>
            <w:tcW w:w="940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2028</w:t>
            </w:r>
          </w:p>
        </w:tc>
        <w:tc>
          <w:tcPr>
            <w:tcW w:w="100" w:type="dxa"/>
            <w:vAlign w:val="bottom"/>
            <w:tcBorders>
              <w:bottom w:val="single" w:sz="8" w:color="EAEAEA"/>
            </w:tcBorders>
            <w:shd w:val="clear" w:color="auto" w:fill="EAEAEA"/>
          </w:tcPr>
          <w:p>
            <w:pPr>
              <w:spacing w:after="0"/>
              <w:rPr>
                <w:sz w:val="18"/>
                <w:szCs w:val="18"/>
                <w:color w:val="auto"/>
              </w:rPr>
            </w:pPr>
          </w:p>
        </w:tc>
        <w:tc>
          <w:tcPr>
            <w:tcW w:w="12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500,000</w:t>
            </w:r>
          </w:p>
        </w:tc>
        <w:tc>
          <w:tcPr>
            <w:tcW w:w="60" w:type="dxa"/>
            <w:vAlign w:val="bottom"/>
            <w:tcBorders>
              <w:bottom w:val="single" w:sz="8" w:color="EAEAEA"/>
            </w:tcBorders>
            <w:shd w:val="clear" w:color="auto" w:fill="EAEAEA"/>
          </w:tcPr>
          <w:p>
            <w:pPr>
              <w:spacing w:after="0"/>
              <w:rPr>
                <w:sz w:val="18"/>
                <w:szCs w:val="18"/>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940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2030</w:t>
            </w:r>
          </w:p>
        </w:tc>
        <w:tc>
          <w:tcPr>
            <w:tcW w:w="100" w:type="dxa"/>
            <w:vAlign w:val="bottom"/>
            <w:tcBorders>
              <w:bottom w:val="single" w:sz="8" w:color="EAEAEA"/>
            </w:tcBorders>
            <w:shd w:val="clear" w:color="auto" w:fill="EAEAEA"/>
          </w:tcPr>
          <w:p>
            <w:pPr>
              <w:spacing w:after="0"/>
              <w:rPr>
                <w:sz w:val="18"/>
                <w:szCs w:val="18"/>
                <w:color w:val="auto"/>
              </w:rPr>
            </w:pPr>
          </w:p>
        </w:tc>
        <w:tc>
          <w:tcPr>
            <w:tcW w:w="124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r>
      <w:tr>
        <w:trPr>
          <w:trHeight w:val="230"/>
        </w:trPr>
        <w:tc>
          <w:tcPr>
            <w:tcW w:w="94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60" w:type="dxa"/>
            <w:vAlign w:val="bottom"/>
            <w:tcBorders>
              <w:bottom w:val="single" w:sz="8" w:color="EAEAEA"/>
            </w:tcBorders>
          </w:tcPr>
          <w:p>
            <w:pPr>
              <w:spacing w:after="0"/>
              <w:rPr>
                <w:sz w:val="20"/>
                <w:szCs w:val="20"/>
                <w:color w:val="auto"/>
              </w:rPr>
            </w:pPr>
          </w:p>
        </w:tc>
      </w:tr>
      <w:tr>
        <w:trPr>
          <w:trHeight w:val="225"/>
        </w:trPr>
        <w:tc>
          <w:tcPr>
            <w:tcW w:w="94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24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922,357</w:t>
            </w:r>
          </w:p>
        </w:tc>
        <w:tc>
          <w:tcPr>
            <w:tcW w:w="60" w:type="dxa"/>
            <w:vAlign w:val="bottom"/>
            <w:tcBorders>
              <w:bottom w:val="single" w:sz="8" w:color="EAEAEA"/>
            </w:tcBorders>
            <w:shd w:val="clear" w:color="auto" w:fill="EAEAEA"/>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-186690</wp:posOffset>
            </wp:positionV>
            <wp:extent cx="87312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8">
                      <a:extLst>
                        <a:ext uri="{28A0092B-C50C-407E-A947-70E740481C1C}"/>
                      </a:extLst>
                    </a:blip>
                    <a:srcRect/>
                    <a:stretch>
                      <a:fillRect/>
                    </a:stretch>
                  </pic:blipFill>
                  <pic:spPr bwMode="auto">
                    <a:xfrm>
                      <a:off x="0" y="0"/>
                      <a:ext cx="873125" cy="25400"/>
                    </a:xfrm>
                    <a:prstGeom prst="rect">
                      <a:avLst/>
                    </a:prstGeom>
                    <a:noFill/>
                  </pic:spPr>
                </pic:pic>
              </a:graphicData>
            </a:graphic>
          </wp:anchor>
        </w:drawing>
      </w:r>
    </w:p>
    <w:p>
      <w:pPr>
        <w:spacing w:after="0" w:line="160"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5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 million</w:t>
      </w:r>
    </w:p>
    <w:p>
      <w:pPr>
        <w:sectPr>
          <w:pgSz w:w="12240" w:h="15840" w:orient="portrait"/>
          <w:cols w:equalWidth="0" w:num="1">
            <w:col w:w="10800"/>
          </w:cols>
          <w:pgMar w:left="720" w:top="1186" w:right="720" w:bottom="176"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1186" w:right="720" w:bottom="176" w:gutter="0" w:footer="0" w:header="0"/>
          <w:type w:val="continuous"/>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20"/>
          <w:szCs w:val="20"/>
          <w:color w:val="auto"/>
        </w:rPr>
        <w:t>under the 2027 Term Loan prior to scheduled maturities. In the fourth quarter of 2024, the Company repaid $100 million under th 2027 Term Loan prior to scheduled maturities. As a result, no repayments are required until March 31, 2027. Outstanding letters of credit under the 2027 Revolving Credit Facility were $6,000 and available borrowing capacity was $455 million as of December 31 2025.</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2027 Term Loan is repayable in quarterly installments, with no repayments until March 31, 2027, in increasing percentages</w:t>
      </w:r>
    </w:p>
    <w:p>
      <w:pPr>
        <w:spacing w:after="0" w:line="37"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of the original principal amount of the loan, with the remaining unpaid balance of approximately $43.8 million payable upon maturity, assuming no further prepayments.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20" w:lineRule="exact"/>
        <w:rPr>
          <w:sz w:val="20"/>
          <w:szCs w:val="20"/>
          <w:color w:val="auto"/>
        </w:rPr>
      </w:pP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Company has $500 million of 4.2% senior unsecured notes due March 1, 2028 (the “2028 Notes”) with U.S. Bank National</w:t>
      </w:r>
    </w:p>
    <w:p>
      <w:pPr>
        <w:spacing w:after="0" w:line="36"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Association, as trustee. No principal payments are required until maturity. Interest payments of $10.5 million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 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20" w:lineRule="exact"/>
        <w:rPr>
          <w:sz w:val="20"/>
          <w:szCs w:val="20"/>
          <w:color w:val="auto"/>
        </w:rPr>
      </w:pPr>
    </w:p>
    <w:p>
      <w:pPr>
        <w:spacing w:after="0" w:line="14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February 3, 2022, the Company entered into a note purchase agreement for the issuance of $300 million of unsecured senior notes with a group of institutional investors, consisting of $ 60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are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 others. The 3.29% unsecured senior notes due February 27, 2023 (the “2023 Notes”) were repaid using a combination of the proceeds from the issuance of the 2033 Notes and availability under the 2027 Revolving Credit Facility.</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a $15.0 million line of credit (“Credit Line”) with Bank of America, N.A. (“Bank of America”) for short-term</w:t>
      </w:r>
    </w:p>
    <w:p>
      <w:pPr>
        <w:spacing w:after="0" w:line="38"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liquidity needs and letters of credit, with a maturity date of June 30, 2026. The Credit Line allows the Company to borrow at an interest rate agreed to by Bank of America and the Company at the time each borrowing is made or continued. The Company had no borrowings outstanding under the Credit Line as of December 31, 2025. Outstanding letters of credit under the Credit Line were $6.8 million and available borrowing capacity was $8.2 million as of December 31, 2025.</w:t>
      </w:r>
    </w:p>
    <w:p>
      <w:pPr>
        <w:spacing w:after="0" w:line="20" w:lineRule="exact"/>
        <w:rPr>
          <w:sz w:val="20"/>
          <w:szCs w:val="20"/>
          <w:color w:val="auto"/>
        </w:rPr>
      </w:pPr>
    </w:p>
    <w:p>
      <w:pPr>
        <w:spacing w:after="0" w:line="144"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also had $7.4 million and $8.2 million of short-term unsecured loans outstanding, as of December 31, 2025 and 2024, respectively, related to its Colombia operations.</w:t>
      </w:r>
    </w:p>
    <w:p>
      <w:pPr>
        <w:spacing w:after="0" w:line="128" w:lineRule="exact"/>
        <w:rPr>
          <w:sz w:val="20"/>
          <w:szCs w:val="20"/>
          <w:color w:val="auto"/>
        </w:rPr>
      </w:pPr>
    </w:p>
    <w:p>
      <w:pPr>
        <w:ind w:right="2000" w:firstLine="354"/>
        <w:spacing w:after="0" w:line="448" w:lineRule="auto"/>
        <w:rPr>
          <w:sz w:val="20"/>
          <w:szCs w:val="20"/>
          <w:color w:val="auto"/>
        </w:rPr>
      </w:pPr>
      <w:r>
        <w:rPr>
          <w:rFonts w:ascii="Times New Roman" w:cs="Times New Roman" w:eastAsia="Times New Roman" w:hAnsi="Times New Roman"/>
          <w:sz w:val="20"/>
          <w:szCs w:val="20"/>
          <w:color w:val="auto"/>
        </w:rPr>
        <w:t xml:space="preserve">As of December 31, 2025, the Company was in compliance with all covenants under its debt instruments. </w:t>
      </w:r>
      <w:r>
        <w:rPr>
          <w:rFonts w:ascii="Times New Roman" w:cs="Times New Roman" w:eastAsia="Times New Roman" w:hAnsi="Times New Roman"/>
          <w:sz w:val="20"/>
          <w:szCs w:val="20"/>
          <w:b w:val="1"/>
          <w:bCs w:val="1"/>
          <w:color w:val="auto"/>
        </w:rPr>
        <w:t>(6) Leases</w:t>
      </w:r>
    </w:p>
    <w:p>
      <w:pPr>
        <w:spacing w:after="0" w:line="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the related lease expense is recognized on a straight-line basis over the lease term. The Company has also elected to combine lease and non-lease components on all classes of</w:t>
      </w:r>
    </w:p>
    <w:p>
      <w:pPr>
        <w:sectPr>
          <w:pgSz w:w="12240" w:h="15840" w:orient="portrait"/>
          <w:cols w:equalWidth="0" w:num="1">
            <w:col w:w="10800"/>
          </w:cols>
          <w:pgMar w:left="720" w:top="929" w:right="720" w:bottom="199"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ectPr>
          <w:pgSz w:w="12240" w:h="15840" w:orient="portrait"/>
          <w:cols w:equalWidth="0" w:num="1">
            <w:col w:w="10800"/>
          </w:cols>
          <w:pgMar w:left="720" w:top="929" w:right="720" w:bottom="199" w:gutter="0" w:footer="0" w:header="0"/>
          <w:type w:val="continuous"/>
        </w:sectPr>
      </w:pPr>
    </w:p>
    <w:bookmarkStart w:id="77" w:name="page78"/>
    <w:bookmarkEnd w:id="77"/>
    <w:p>
      <w:pPr>
        <w:jc w:val="both"/>
        <w:ind w:firstLine="6"/>
        <w:spacing w:after="0" w:line="259" w:lineRule="auto"/>
        <w:rPr>
          <w:sz w:val="20"/>
          <w:szCs w:val="20"/>
          <w:color w:val="auto"/>
        </w:rPr>
      </w:pPr>
      <w:r>
        <w:rPr>
          <w:rFonts w:ascii="Times New Roman" w:cs="Times New Roman" w:eastAsia="Times New Roman" w:hAnsi="Times New Roman"/>
          <w:sz w:val="20"/>
          <w:szCs w:val="20"/>
          <w:color w:val="auto"/>
        </w:rPr>
        <w:t>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5"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Future minimum lease payments under operating leases that have initial noncancelable lease terms in excess of one year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Borders>
              <w:bottom w:val="single" w:sz="8" w:color="EAEAEA"/>
            </w:tcBorders>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2026</w:t>
            </w:r>
          </w:p>
        </w:tc>
        <w:tc>
          <w:tcPr>
            <w:tcW w:w="40" w:type="dxa"/>
            <w:vAlign w:val="bottom"/>
            <w:tcBorders>
              <w:bottom w:val="single" w:sz="8" w:color="EAEAEA"/>
            </w:tcBorders>
            <w:shd w:val="clear" w:color="auto" w:fill="EAEAEA"/>
          </w:tcPr>
          <w:p>
            <w:pPr>
              <w:spacing w:after="0"/>
              <w:rPr>
                <w:sz w:val="21"/>
                <w:szCs w:val="21"/>
                <w:color w:val="auto"/>
              </w:rPr>
            </w:pPr>
          </w:p>
        </w:tc>
        <w:tc>
          <w:tcPr>
            <w:tcW w:w="240" w:type="dxa"/>
            <w:vAlign w:val="bottom"/>
            <w:tcBorders>
              <w:bottom w:val="single" w:sz="8" w:color="EAEAEA"/>
            </w:tcBorders>
            <w:shd w:val="clear" w:color="auto" w:fill="EAEAEA"/>
          </w:tcPr>
          <w:p>
            <w:pPr>
              <w:spacing w:after="0"/>
              <w:rPr>
                <w:sz w:val="21"/>
                <w:szCs w:val="21"/>
                <w:color w:val="auto"/>
              </w:rPr>
            </w:pPr>
          </w:p>
        </w:tc>
        <w:tc>
          <w:tcPr>
            <w:tcW w:w="50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24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64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40" w:type="dxa"/>
            <w:vAlign w:val="bottom"/>
            <w:tcBorders>
              <w:bottom w:val="single" w:sz="8" w:color="EAEAEA"/>
            </w:tcBorders>
            <w:shd w:val="clear" w:color="auto" w:fill="EAEAEA"/>
          </w:tcPr>
          <w:p>
            <w:pPr>
              <w:spacing w:after="0"/>
              <w:rPr>
                <w:sz w:val="21"/>
                <w:szCs w:val="21"/>
                <w:color w:val="auto"/>
              </w:rPr>
            </w:pPr>
          </w:p>
        </w:tc>
        <w:tc>
          <w:tcPr>
            <w:tcW w:w="120" w:type="dxa"/>
            <w:vAlign w:val="bottom"/>
            <w:tcBorders>
              <w:bottom w:val="single" w:sz="8" w:color="EAEAEA"/>
            </w:tcBorders>
            <w:shd w:val="clear" w:color="auto" w:fill="EAEAEA"/>
          </w:tcPr>
          <w:p>
            <w:pPr>
              <w:spacing w:after="0"/>
              <w:rPr>
                <w:sz w:val="21"/>
                <w:szCs w:val="21"/>
                <w:color w:val="auto"/>
              </w:rPr>
            </w:pPr>
          </w:p>
        </w:tc>
        <w:tc>
          <w:tcPr>
            <w:tcW w:w="28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20" w:type="dxa"/>
            <w:vAlign w:val="bottom"/>
            <w:tcBorders>
              <w:bottom w:val="single" w:sz="8" w:color="EAEAEA"/>
            </w:tcBorders>
            <w:shd w:val="clear" w:color="auto" w:fill="EAEAEA"/>
          </w:tcPr>
          <w:p>
            <w:pPr>
              <w:spacing w:after="0"/>
              <w:rPr>
                <w:sz w:val="21"/>
                <w:szCs w:val="21"/>
                <w:color w:val="auto"/>
              </w:rPr>
            </w:pPr>
          </w:p>
        </w:tc>
        <w:tc>
          <w:tcPr>
            <w:tcW w:w="6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520" w:type="dxa"/>
            <w:vAlign w:val="bottom"/>
            <w:tcBorders>
              <w:bottom w:val="single" w:sz="8" w:color="EAEAEA"/>
            </w:tcBorders>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0"/>
                <w:shd w:val="clear" w:color="auto" w:fill="EAEAEA"/>
              </w:rPr>
              <w:t>54,278</w:t>
            </w:r>
          </w:p>
        </w:tc>
        <w:tc>
          <w:tcPr>
            <w:tcW w:w="20" w:type="dxa"/>
            <w:vAlign w:val="bottom"/>
            <w:tcBorders>
              <w:bottom w:val="single" w:sz="8" w:color="EAEAEA"/>
            </w:tcBorders>
            <w:shd w:val="clear" w:color="auto" w:fill="EAEAEA"/>
          </w:tcPr>
          <w:p>
            <w:pPr>
              <w:spacing w:after="0"/>
              <w:rPr>
                <w:sz w:val="21"/>
                <w:szCs w:val="21"/>
                <w:color w:val="auto"/>
              </w:rPr>
            </w:pPr>
          </w:p>
        </w:tc>
        <w:tc>
          <w:tcPr>
            <w:tcW w:w="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2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9"/>
          </w:tcPr>
          <w:p>
            <w:pPr>
              <w:jc w:val="right"/>
              <w:ind w:right="20"/>
              <w:spacing w:after="0"/>
              <w:rPr>
                <w:sz w:val="20"/>
                <w:szCs w:val="20"/>
                <w:color w:val="auto"/>
              </w:rPr>
            </w:pPr>
            <w:r>
              <w:rPr>
                <w:rFonts w:ascii="Times New Roman" w:cs="Times New Roman" w:eastAsia="Times New Roman" w:hAnsi="Times New Roman"/>
                <w:sz w:val="20"/>
                <w:szCs w:val="20"/>
                <w:color w:val="auto"/>
              </w:rPr>
              <w:t>44,246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EAEAEA"/>
            </w:tcBorders>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2028</w:t>
            </w:r>
          </w:p>
        </w:tc>
        <w:tc>
          <w:tcPr>
            <w:tcW w:w="40" w:type="dxa"/>
            <w:vAlign w:val="bottom"/>
            <w:tcBorders>
              <w:bottom w:val="single" w:sz="8" w:color="EAEAEA"/>
            </w:tcBorders>
            <w:shd w:val="clear" w:color="auto" w:fill="EAEAEA"/>
          </w:tcPr>
          <w:p>
            <w:pPr>
              <w:spacing w:after="0"/>
              <w:rPr>
                <w:sz w:val="18"/>
                <w:szCs w:val="18"/>
                <w:color w:val="auto"/>
              </w:rPr>
            </w:pPr>
          </w:p>
        </w:tc>
        <w:tc>
          <w:tcPr>
            <w:tcW w:w="240" w:type="dxa"/>
            <w:vAlign w:val="bottom"/>
            <w:tcBorders>
              <w:bottom w:val="single" w:sz="8" w:color="EAEAEA"/>
            </w:tcBorders>
            <w:shd w:val="clear" w:color="auto" w:fill="EAEAEA"/>
          </w:tcPr>
          <w:p>
            <w:pPr>
              <w:spacing w:after="0"/>
              <w:rPr>
                <w:sz w:val="18"/>
                <w:szCs w:val="18"/>
                <w:color w:val="auto"/>
              </w:rPr>
            </w:pPr>
          </w:p>
        </w:tc>
        <w:tc>
          <w:tcPr>
            <w:tcW w:w="50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64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60" w:type="dxa"/>
            <w:vAlign w:val="bottom"/>
            <w:tcBorders>
              <w:bottom w:val="single" w:sz="8" w:color="EAEAEA"/>
            </w:tcBorders>
            <w:shd w:val="clear" w:color="auto" w:fill="EAEAEA"/>
          </w:tcPr>
          <w:p>
            <w:pPr>
              <w:spacing w:after="0"/>
              <w:rPr>
                <w:sz w:val="18"/>
                <w:szCs w:val="18"/>
                <w:color w:val="auto"/>
              </w:rPr>
            </w:pPr>
          </w:p>
        </w:tc>
        <w:tc>
          <w:tcPr>
            <w:tcW w:w="4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520" w:type="dxa"/>
            <w:vAlign w:val="bottom"/>
            <w:tcBorders>
              <w:bottom w:val="single" w:sz="8" w:color="EAEAEA"/>
            </w:tcBorders>
            <w:gridSpan w:val="4"/>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0"/>
                <w:shd w:val="clear" w:color="auto" w:fill="EAEAEA"/>
              </w:rPr>
              <w:t>33,245</w:t>
            </w:r>
          </w:p>
        </w:tc>
        <w:tc>
          <w:tcPr>
            <w:tcW w:w="20" w:type="dxa"/>
            <w:vAlign w:val="bottom"/>
            <w:tcBorders>
              <w:bottom w:val="single" w:sz="8" w:color="EAEAEA"/>
            </w:tcBorders>
            <w:shd w:val="clear" w:color="auto" w:fill="EAEAEA"/>
          </w:tcPr>
          <w:p>
            <w:pPr>
              <w:spacing w:after="0"/>
              <w:rPr>
                <w:sz w:val="18"/>
                <w:szCs w:val="18"/>
                <w:color w:val="auto"/>
              </w:rPr>
            </w:pPr>
          </w:p>
        </w:tc>
        <w:tc>
          <w:tcPr>
            <w:tcW w:w="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18,855</w:t>
            </w: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EAEAEA"/>
            </w:tcBorders>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2030</w:t>
            </w:r>
          </w:p>
        </w:tc>
        <w:tc>
          <w:tcPr>
            <w:tcW w:w="40" w:type="dxa"/>
            <w:vAlign w:val="bottom"/>
            <w:tcBorders>
              <w:bottom w:val="single" w:sz="8" w:color="EAEAEA"/>
            </w:tcBorders>
            <w:shd w:val="clear" w:color="auto" w:fill="EAEAEA"/>
          </w:tcPr>
          <w:p>
            <w:pPr>
              <w:spacing w:after="0"/>
              <w:rPr>
                <w:sz w:val="18"/>
                <w:szCs w:val="18"/>
                <w:color w:val="auto"/>
              </w:rPr>
            </w:pPr>
          </w:p>
        </w:tc>
        <w:tc>
          <w:tcPr>
            <w:tcW w:w="240" w:type="dxa"/>
            <w:vAlign w:val="bottom"/>
            <w:tcBorders>
              <w:bottom w:val="single" w:sz="8" w:color="EAEAEA"/>
            </w:tcBorders>
            <w:shd w:val="clear" w:color="auto" w:fill="EAEAEA"/>
          </w:tcPr>
          <w:p>
            <w:pPr>
              <w:spacing w:after="0"/>
              <w:rPr>
                <w:sz w:val="18"/>
                <w:szCs w:val="18"/>
                <w:color w:val="auto"/>
              </w:rPr>
            </w:pPr>
          </w:p>
        </w:tc>
        <w:tc>
          <w:tcPr>
            <w:tcW w:w="50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64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60" w:type="dxa"/>
            <w:vAlign w:val="bottom"/>
            <w:tcBorders>
              <w:bottom w:val="single" w:sz="8" w:color="EAEAEA"/>
            </w:tcBorders>
            <w:shd w:val="clear" w:color="auto" w:fill="EAEAEA"/>
          </w:tcPr>
          <w:p>
            <w:pPr>
              <w:spacing w:after="0"/>
              <w:rPr>
                <w:sz w:val="18"/>
                <w:szCs w:val="18"/>
                <w:color w:val="auto"/>
              </w:rPr>
            </w:pPr>
          </w:p>
        </w:tc>
        <w:tc>
          <w:tcPr>
            <w:tcW w:w="4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540" w:type="dxa"/>
            <w:vAlign w:val="bottom"/>
            <w:tcBorders>
              <w:bottom w:val="single" w:sz="8" w:color="EAEAEA"/>
            </w:tcBorders>
            <w:gridSpan w:val="5"/>
            <w:shd w:val="clear" w:color="auto" w:fill="EAEAEA"/>
          </w:tcPr>
          <w:p>
            <w:pPr>
              <w:jc w:val="right"/>
              <w:ind w:right="20"/>
              <w:spacing w:after="0" w:line="189" w:lineRule="exact"/>
              <w:rPr>
                <w:sz w:val="20"/>
                <w:szCs w:val="20"/>
                <w:color w:val="auto"/>
              </w:rPr>
            </w:pPr>
            <w:r>
              <w:rPr>
                <w:rFonts w:ascii="Times New Roman" w:cs="Times New Roman" w:eastAsia="Times New Roman" w:hAnsi="Times New Roman"/>
                <w:sz w:val="20"/>
                <w:szCs w:val="20"/>
                <w:color w:val="auto"/>
                <w:w w:val="90"/>
                <w:shd w:val="clear" w:color="auto" w:fill="EAEAEA"/>
              </w:rPr>
              <w:t>14,522</w:t>
            </w:r>
          </w:p>
        </w:tc>
        <w:tc>
          <w:tcPr>
            <w:tcW w:w="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634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Thereafter</w:t>
            </w: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gridSpan w:val="6"/>
          </w:tcPr>
          <w:p>
            <w:pPr>
              <w:jc w:val="right"/>
              <w:ind w:right="20"/>
              <w:spacing w:after="0" w:line="168" w:lineRule="exact"/>
              <w:rPr>
                <w:sz w:val="20"/>
                <w:szCs w:val="20"/>
                <w:color w:val="auto"/>
              </w:rPr>
            </w:pPr>
            <w:r>
              <w:rPr>
                <w:rFonts w:ascii="Times New Roman" w:cs="Times New Roman" w:eastAsia="Times New Roman" w:hAnsi="Times New Roman"/>
                <w:sz w:val="19"/>
                <w:szCs w:val="19"/>
                <w:color w:val="auto"/>
                <w:highlight w:val="white"/>
                <w:w w:val="95"/>
              </w:rPr>
              <w:t>97,566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610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50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64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00" w:type="dxa"/>
            <w:vAlign w:val="bottom"/>
            <w:gridSpan w:val="2"/>
            <w:shd w:val="clear" w:color="auto" w:fill="EAEAEA"/>
          </w:tcPr>
          <w:p>
            <w:pPr>
              <w:ind w:left="200"/>
              <w:spacing w:after="0" w:line="215" w:lineRule="exact"/>
              <w:rPr>
                <w:sz w:val="20"/>
                <w:szCs w:val="20"/>
                <w:color w:val="auto"/>
              </w:rPr>
            </w:pPr>
            <w:r>
              <w:rPr>
                <w:rFonts w:ascii="Times New Roman" w:cs="Times New Roman" w:eastAsia="Times New Roman" w:hAnsi="Times New Roman"/>
                <w:sz w:val="20"/>
                <w:szCs w:val="20"/>
                <w:color w:val="auto"/>
                <w:shd w:val="clear" w:color="auto" w:fill="EAEAEA"/>
              </w:rPr>
              <w:t>Total lease payments</w:t>
            </w:r>
          </w:p>
        </w:tc>
        <w:tc>
          <w:tcPr>
            <w:tcW w:w="4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50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040" w:type="dxa"/>
            <w:vAlign w:val="bottom"/>
            <w:gridSpan w:val="8"/>
            <w:shd w:val="clear" w:color="auto" w:fill="EAEAEA"/>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shd w:val="clear" w:color="auto" w:fill="EAEAEA"/>
              </w:rPr>
              <w:t>262,712</w:t>
            </w:r>
          </w:p>
        </w:tc>
        <w:tc>
          <w:tcPr>
            <w:tcW w:w="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340" w:type="dxa"/>
            <w:vAlign w:val="bottom"/>
            <w:tcBorders>
              <w:bottom w:val="single" w:sz="8" w:color="EAEAEA"/>
            </w:tcBorders>
            <w:gridSpan w:val="3"/>
            <w:vMerge w:val="continue"/>
          </w:tcPr>
          <w:p>
            <w:pPr>
              <w:spacing w:after="0"/>
              <w:rPr>
                <w:sz w:val="15"/>
                <w:szCs w:val="15"/>
                <w:color w:val="auto"/>
              </w:rPr>
            </w:pPr>
          </w:p>
        </w:tc>
        <w:tc>
          <w:tcPr>
            <w:tcW w:w="240" w:type="dxa"/>
            <w:vAlign w:val="bottom"/>
            <w:tcBorders>
              <w:bottom w:val="single" w:sz="8" w:color="EAEAEA"/>
            </w:tcBorders>
          </w:tcPr>
          <w:p>
            <w:pPr>
              <w:spacing w:after="0"/>
              <w:rPr>
                <w:sz w:val="15"/>
                <w:szCs w:val="15"/>
                <w:color w:val="auto"/>
              </w:rPr>
            </w:pPr>
          </w:p>
        </w:tc>
        <w:tc>
          <w:tcPr>
            <w:tcW w:w="50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4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60" w:type="dxa"/>
            <w:vAlign w:val="bottom"/>
            <w:tcBorders>
              <w:bottom w:val="single" w:sz="8" w:color="EAEAEA"/>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0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00" w:type="dxa"/>
            <w:vAlign w:val="bottom"/>
            <w:tcBorders>
              <w:bottom w:val="single" w:sz="8" w:color="EAEAEA"/>
            </w:tcBorders>
          </w:tcPr>
          <w:p>
            <w:pPr>
              <w:spacing w:after="0"/>
              <w:rPr>
                <w:sz w:val="15"/>
                <w:szCs w:val="15"/>
                <w:color w:val="auto"/>
              </w:rPr>
            </w:pPr>
          </w:p>
        </w:tc>
        <w:tc>
          <w:tcPr>
            <w:tcW w:w="64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14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gridSpan w:val="7"/>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93"/>
              </w:rPr>
              <w:t>(47,092</w:t>
            </w:r>
          </w:p>
        </w:tc>
        <w:tc>
          <w:tcPr>
            <w:tcW w:w="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gridSpan w:val="2"/>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Borders>
              <w:bottom w:val="single" w:sz="8" w:color="EAEAEA"/>
            </w:tcBorders>
            <w:vMerge w:val="continue"/>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0" w:type="dxa"/>
            <w:vAlign w:val="bottom"/>
            <w:tcBorders>
              <w:bottom w:val="single" w:sz="8" w:color="EAEAEA"/>
            </w:tcBorders>
            <w:shd w:val="clear" w:color="auto" w:fill="EAEAEA"/>
          </w:tcPr>
          <w:p>
            <w:pPr>
              <w:spacing w:after="0"/>
              <w:rPr>
                <w:sz w:val="19"/>
                <w:szCs w:val="19"/>
                <w:color w:val="auto"/>
              </w:rPr>
            </w:pPr>
          </w:p>
        </w:tc>
        <w:tc>
          <w:tcPr>
            <w:tcW w:w="6100" w:type="dxa"/>
            <w:vAlign w:val="bottom"/>
            <w:tcBorders>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Operating lease liabilities</w:t>
            </w:r>
          </w:p>
        </w:tc>
        <w:tc>
          <w:tcPr>
            <w:tcW w:w="4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5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6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40" w:type="dxa"/>
            <w:vAlign w:val="bottom"/>
            <w:tcBorders>
              <w:bottom w:val="single" w:sz="8" w:color="EAEAEA"/>
            </w:tcBorders>
            <w:gridSpan w:val="9"/>
            <w:shd w:val="clear" w:color="auto" w:fill="EAEAEA"/>
          </w:tcPr>
          <w:p>
            <w:pPr>
              <w:jc w:val="right"/>
              <w:ind w:right="20"/>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215,620</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auto"/>
              </w:rPr>
              <w:t>The following table summarizes lease costs (in thousands):</w:t>
            </w: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0" w:type="dxa"/>
            <w:vAlign w:val="bottom"/>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4"/>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4"/>
          </w:tcPr>
          <w:p>
            <w:pPr>
              <w:spacing w:after="0"/>
              <w:rPr>
                <w:sz w:val="22"/>
                <w:szCs w:val="22"/>
                <w:color w:val="auto"/>
              </w:rPr>
            </w:pPr>
          </w:p>
        </w:tc>
        <w:tc>
          <w:tcPr>
            <w:tcW w:w="260" w:type="dxa"/>
            <w:vAlign w:val="bottom"/>
            <w:vMerge w:val="restart"/>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18"/>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 w:type="dxa"/>
            <w:vAlign w:val="bottom"/>
            <w:tcBorders>
              <w:bottom w:val="single" w:sz="8" w:color="EAEAEA"/>
            </w:tcBorders>
          </w:tcPr>
          <w:p>
            <w:pPr>
              <w:spacing w:after="0"/>
              <w:rPr>
                <w:sz w:val="16"/>
                <w:szCs w:val="16"/>
                <w:color w:val="auto"/>
              </w:rPr>
            </w:pPr>
          </w:p>
        </w:tc>
        <w:tc>
          <w:tcPr>
            <w:tcW w:w="6100" w:type="dxa"/>
            <w:vAlign w:val="bottom"/>
            <w:tcBorders>
              <w:bottom w:val="single" w:sz="8" w:color="EAEAEA"/>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00" w:type="dxa"/>
            <w:vAlign w:val="bottom"/>
            <w:tcBorders>
              <w:bottom w:val="single" w:sz="8" w:color="EAEAEA"/>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Borders>
              <w:bottom w:val="single" w:sz="8" w:color="auto"/>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00" w:type="dxa"/>
            <w:vAlign w:val="bottom"/>
            <w:tcBorders>
              <w:bottom w:val="single" w:sz="8" w:color="EAEAEA"/>
            </w:tcBorders>
            <w:gridSpan w:val="2"/>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Operating lease cost</w:t>
            </w:r>
          </w:p>
        </w:tc>
        <w:tc>
          <w:tcPr>
            <w:tcW w:w="4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jc w:val="right"/>
              <w:ind w:right="7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0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gridSpan w:val="5"/>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94"/>
                <w:shd w:val="clear" w:color="auto" w:fill="EAEAEA"/>
              </w:rPr>
              <w:t>50,769</w:t>
            </w:r>
          </w:p>
        </w:tc>
        <w:tc>
          <w:tcPr>
            <w:tcW w:w="6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64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gridSpan w:val="5"/>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94"/>
                <w:shd w:val="clear" w:color="auto" w:fill="EAEAEA"/>
              </w:rPr>
              <w:t>45,844</w:t>
            </w: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jc w:val="right"/>
              <w:ind w:right="60"/>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80" w:type="dxa"/>
            <w:vAlign w:val="bottom"/>
            <w:tcBorders>
              <w:bottom w:val="single" w:sz="8" w:color="EAEAEA"/>
            </w:tcBorders>
            <w:gridSpan w:val="2"/>
            <w:shd w:val="clear" w:color="auto" w:fill="EAEAEA"/>
          </w:tcPr>
          <w:p>
            <w:pPr>
              <w:spacing w:after="0"/>
              <w:rPr>
                <w:sz w:val="17"/>
                <w:szCs w:val="17"/>
                <w:color w:val="auto"/>
              </w:rPr>
            </w:pPr>
          </w:p>
        </w:tc>
        <w:tc>
          <w:tcPr>
            <w:tcW w:w="540" w:type="dxa"/>
            <w:vAlign w:val="bottom"/>
            <w:tcBorders>
              <w:bottom w:val="single" w:sz="8" w:color="EAEAEA"/>
            </w:tcBorders>
            <w:gridSpan w:val="5"/>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90"/>
                <w:shd w:val="clear" w:color="auto" w:fill="EAEAEA"/>
              </w:rPr>
              <w:t>42,821</w:t>
            </w:r>
          </w:p>
        </w:tc>
        <w:tc>
          <w:tcPr>
            <w:tcW w:w="20" w:type="dxa"/>
            <w:vAlign w:val="bottom"/>
            <w:tcBorders>
              <w:bottom w:val="single" w:sz="8" w:color="EAEAEA"/>
            </w:tcBorders>
            <w:gridSpan w:val="2"/>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40" w:type="dxa"/>
            <w:vAlign w:val="bottom"/>
          </w:tcPr>
          <w:p>
            <w:pPr>
              <w:spacing w:after="0"/>
              <w:rPr>
                <w:sz w:val="20"/>
                <w:szCs w:val="20"/>
                <w:color w:val="auto"/>
              </w:rPr>
            </w:pPr>
          </w:p>
        </w:tc>
        <w:tc>
          <w:tcPr>
            <w:tcW w:w="10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1,936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auto"/>
              </w:rPr>
              <w:t>2,376</w:t>
            </w: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EAEAEA"/>
            </w:tcBorders>
            <w:gridSpan w:val="2"/>
            <w:shd w:val="clear" w:color="auto" w:fill="EAEAEA"/>
          </w:tcPr>
          <w:p>
            <w:pPr>
              <w:ind w:left="2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Short-term lease cost</w:t>
            </w:r>
          </w:p>
        </w:tc>
        <w:tc>
          <w:tcPr>
            <w:tcW w:w="40" w:type="dxa"/>
            <w:vAlign w:val="bottom"/>
            <w:tcBorders>
              <w:bottom w:val="single" w:sz="8" w:color="EAEAEA"/>
            </w:tcBorders>
            <w:shd w:val="clear" w:color="auto" w:fill="EAEAEA"/>
          </w:tcPr>
          <w:p>
            <w:pPr>
              <w:spacing w:after="0"/>
              <w:rPr>
                <w:sz w:val="18"/>
                <w:szCs w:val="18"/>
                <w:color w:val="auto"/>
              </w:rPr>
            </w:pPr>
          </w:p>
        </w:tc>
        <w:tc>
          <w:tcPr>
            <w:tcW w:w="240" w:type="dxa"/>
            <w:vAlign w:val="bottom"/>
            <w:tcBorders>
              <w:bottom w:val="single" w:sz="8" w:color="EAEAEA"/>
            </w:tcBorders>
            <w:shd w:val="clear" w:color="auto" w:fill="EAEAEA"/>
          </w:tcPr>
          <w:p>
            <w:pPr>
              <w:spacing w:after="0"/>
              <w:rPr>
                <w:sz w:val="18"/>
                <w:szCs w:val="18"/>
                <w:color w:val="auto"/>
              </w:rPr>
            </w:pPr>
          </w:p>
        </w:tc>
        <w:tc>
          <w:tcPr>
            <w:tcW w:w="500" w:type="dxa"/>
            <w:vAlign w:val="bottom"/>
            <w:tcBorders>
              <w:bottom w:val="single" w:sz="8" w:color="EAEAEA"/>
            </w:tcBorders>
            <w:shd w:val="clear" w:color="auto" w:fill="EAEAEA"/>
          </w:tcPr>
          <w:p>
            <w:pPr>
              <w:spacing w:after="0"/>
              <w:rPr>
                <w:sz w:val="18"/>
                <w:szCs w:val="18"/>
                <w:color w:val="auto"/>
              </w:rPr>
            </w:pPr>
          </w:p>
        </w:tc>
        <w:tc>
          <w:tcPr>
            <w:tcW w:w="540" w:type="dxa"/>
            <w:vAlign w:val="bottom"/>
            <w:tcBorders>
              <w:bottom w:val="single" w:sz="8" w:color="EAEAEA"/>
            </w:tcBorders>
            <w:gridSpan w:val="5"/>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4"/>
                <w:shd w:val="clear" w:color="auto" w:fill="EAEAEA"/>
              </w:rPr>
              <w:t>39,478</w:t>
            </w:r>
          </w:p>
        </w:tc>
        <w:tc>
          <w:tcPr>
            <w:tcW w:w="6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640" w:type="dxa"/>
            <w:vAlign w:val="bottom"/>
            <w:tcBorders>
              <w:bottom w:val="single" w:sz="8" w:color="EAEAEA"/>
            </w:tcBorders>
            <w:shd w:val="clear" w:color="auto" w:fill="EAEAEA"/>
          </w:tcPr>
          <w:p>
            <w:pPr>
              <w:spacing w:after="0"/>
              <w:rPr>
                <w:sz w:val="18"/>
                <w:szCs w:val="18"/>
                <w:color w:val="auto"/>
              </w:rPr>
            </w:pPr>
          </w:p>
        </w:tc>
        <w:tc>
          <w:tcPr>
            <w:tcW w:w="540" w:type="dxa"/>
            <w:vAlign w:val="bottom"/>
            <w:tcBorders>
              <w:bottom w:val="single" w:sz="8" w:color="EAEAEA"/>
            </w:tcBorders>
            <w:gridSpan w:val="5"/>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0"/>
                <w:shd w:val="clear" w:color="auto" w:fill="EAEAEA"/>
              </w:rPr>
              <w:t>38,991</w:t>
            </w: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60" w:type="dxa"/>
            <w:vAlign w:val="bottom"/>
            <w:tcBorders>
              <w:bottom w:val="single" w:sz="8" w:color="EAEAEA"/>
            </w:tcBorders>
            <w:shd w:val="clear" w:color="auto" w:fill="EAEAEA"/>
          </w:tcPr>
          <w:p>
            <w:pPr>
              <w:spacing w:after="0"/>
              <w:rPr>
                <w:sz w:val="18"/>
                <w:szCs w:val="18"/>
                <w:color w:val="auto"/>
              </w:rPr>
            </w:pPr>
          </w:p>
        </w:tc>
        <w:tc>
          <w:tcPr>
            <w:tcW w:w="480" w:type="dxa"/>
            <w:vAlign w:val="bottom"/>
            <w:tcBorders>
              <w:bottom w:val="single" w:sz="8" w:color="EAEAEA"/>
            </w:tcBorders>
            <w:gridSpan w:val="2"/>
            <w:shd w:val="clear" w:color="auto" w:fill="EAEAEA"/>
          </w:tcPr>
          <w:p>
            <w:pPr>
              <w:spacing w:after="0"/>
              <w:rPr>
                <w:sz w:val="18"/>
                <w:szCs w:val="18"/>
                <w:color w:val="auto"/>
              </w:rPr>
            </w:pPr>
          </w:p>
        </w:tc>
        <w:tc>
          <w:tcPr>
            <w:tcW w:w="540" w:type="dxa"/>
            <w:vAlign w:val="bottom"/>
            <w:tcBorders>
              <w:bottom w:val="single" w:sz="8" w:color="EAEAEA"/>
            </w:tcBorders>
            <w:gridSpan w:val="5"/>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4"/>
                <w:shd w:val="clear" w:color="auto" w:fill="EAEAEA"/>
              </w:rPr>
              <w:t>30,005</w:t>
            </w:r>
          </w:p>
        </w:tc>
        <w:tc>
          <w:tcPr>
            <w:tcW w:w="20" w:type="dxa"/>
            <w:vAlign w:val="bottom"/>
            <w:tcBorders>
              <w:bottom w:val="single" w:sz="8" w:color="EAEAEA"/>
            </w:tcBorders>
            <w:shd w:val="clear" w:color="auto" w:fill="EAEAEA"/>
          </w:tcPr>
          <w:p>
            <w:pPr>
              <w:spacing w:after="0"/>
              <w:rPr>
                <w:sz w:val="18"/>
                <w:szCs w:val="18"/>
                <w:color w:val="auto"/>
              </w:rPr>
            </w:pPr>
          </w:p>
        </w:tc>
        <w:tc>
          <w:tcPr>
            <w:tcW w:w="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340" w:type="dxa"/>
            <w:vAlign w:val="bottom"/>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Sublease income</w:t>
            </w:r>
          </w:p>
        </w:tc>
        <w:tc>
          <w:tcPr>
            <w:tcW w:w="240" w:type="dxa"/>
            <w:vAlign w:val="bottom"/>
          </w:tcPr>
          <w:p>
            <w:pPr>
              <w:spacing w:after="0"/>
              <w:rPr>
                <w:sz w:val="4"/>
                <w:szCs w:val="4"/>
                <w:color w:val="auto"/>
              </w:rPr>
            </w:pPr>
          </w:p>
        </w:tc>
        <w:tc>
          <w:tcPr>
            <w:tcW w:w="50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gridSpan w:val="2"/>
            <w:vMerge w:val="restart"/>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340" w:type="dxa"/>
            <w:vAlign w:val="bottom"/>
            <w:tcBorders>
              <w:bottom w:val="single" w:sz="8" w:color="EAEAEA"/>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8"/>
              </w:rPr>
              <w:t>(3,681</w:t>
            </w: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EAEAEA"/>
            </w:tcBorders>
          </w:tcPr>
          <w:p>
            <w:pPr>
              <w:spacing w:after="0" w:line="181"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0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gridSpan w:val="4"/>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(3,396</w:t>
            </w:r>
          </w:p>
        </w:tc>
        <w:tc>
          <w:tcPr>
            <w:tcW w:w="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(3,223</w:t>
            </w:r>
          </w:p>
        </w:tc>
        <w:tc>
          <w:tcPr>
            <w:tcW w:w="2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EAEAEA"/>
            </w:tcBorders>
            <w:gridSpan w:val="2"/>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Borders>
              <w:bottom w:val="single" w:sz="8" w:color="EAEAEA"/>
            </w:tcBorders>
            <w:vMerge w:val="continue"/>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0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Total lease cost</w:t>
            </w:r>
          </w:p>
        </w:tc>
        <w:tc>
          <w:tcPr>
            <w:tcW w:w="4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jc w:val="right"/>
              <w:ind w:right="75"/>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00" w:type="dxa"/>
            <w:vAlign w:val="bottom"/>
            <w:tcBorders>
              <w:bottom w:val="single" w:sz="8" w:color="EAEAEA"/>
            </w:tcBorders>
            <w:shd w:val="clear" w:color="auto" w:fill="EAEAEA"/>
          </w:tcPr>
          <w:p>
            <w:pPr>
              <w:spacing w:after="0"/>
              <w:rPr>
                <w:sz w:val="19"/>
                <w:szCs w:val="19"/>
                <w:color w:val="auto"/>
              </w:rPr>
            </w:pPr>
          </w:p>
        </w:tc>
        <w:tc>
          <w:tcPr>
            <w:tcW w:w="540" w:type="dxa"/>
            <w:vAlign w:val="bottom"/>
            <w:tcBorders>
              <w:bottom w:val="single" w:sz="8" w:color="EAEAEA"/>
            </w:tcBorders>
            <w:gridSpan w:val="5"/>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94"/>
                <w:shd w:val="clear" w:color="auto" w:fill="EAEAEA"/>
              </w:rPr>
              <w:t>86,868</w:t>
            </w:r>
          </w:p>
        </w:tc>
        <w:tc>
          <w:tcPr>
            <w:tcW w:w="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640" w:type="dxa"/>
            <w:vAlign w:val="bottom"/>
            <w:tcBorders>
              <w:bottom w:val="single" w:sz="8" w:color="EAEAEA"/>
            </w:tcBorders>
            <w:shd w:val="clear" w:color="auto" w:fill="EAEAEA"/>
          </w:tcPr>
          <w:p>
            <w:pPr>
              <w:spacing w:after="0"/>
              <w:rPr>
                <w:sz w:val="19"/>
                <w:szCs w:val="19"/>
                <w:color w:val="auto"/>
              </w:rPr>
            </w:pPr>
          </w:p>
        </w:tc>
        <w:tc>
          <w:tcPr>
            <w:tcW w:w="540" w:type="dxa"/>
            <w:vAlign w:val="bottom"/>
            <w:tcBorders>
              <w:bottom w:val="single" w:sz="8" w:color="EAEAEA"/>
            </w:tcBorders>
            <w:gridSpan w:val="5"/>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94"/>
                <w:shd w:val="clear" w:color="auto" w:fill="EAEAEA"/>
              </w:rPr>
              <w:t>83,375</w:t>
            </w: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jc w:val="right"/>
              <w:ind w:right="60"/>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80" w:type="dxa"/>
            <w:vAlign w:val="bottom"/>
            <w:tcBorders>
              <w:bottom w:val="single" w:sz="8" w:color="EAEAEA"/>
            </w:tcBorders>
            <w:gridSpan w:val="2"/>
            <w:shd w:val="clear" w:color="auto" w:fill="EAEAEA"/>
          </w:tcPr>
          <w:p>
            <w:pPr>
              <w:spacing w:after="0"/>
              <w:rPr>
                <w:sz w:val="19"/>
                <w:szCs w:val="19"/>
                <w:color w:val="auto"/>
              </w:rPr>
            </w:pPr>
          </w:p>
        </w:tc>
        <w:tc>
          <w:tcPr>
            <w:tcW w:w="540" w:type="dxa"/>
            <w:vAlign w:val="bottom"/>
            <w:tcBorders>
              <w:bottom w:val="single" w:sz="8" w:color="EAEAEA"/>
            </w:tcBorders>
            <w:gridSpan w:val="5"/>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94"/>
                <w:shd w:val="clear" w:color="auto" w:fill="EAEAEA"/>
              </w:rPr>
              <w:t>71,979</w:t>
            </w: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0" w:type="dxa"/>
            <w:vAlign w:val="bottom"/>
          </w:tcPr>
          <w:p>
            <w:pPr>
              <w:spacing w:after="0"/>
              <w:rPr>
                <w:sz w:val="24"/>
                <w:szCs w:val="24"/>
                <w:color w:val="auto"/>
              </w:rPr>
            </w:pPr>
          </w:p>
        </w:tc>
        <w:tc>
          <w:tcPr>
            <w:tcW w:w="9200" w:type="dxa"/>
            <w:vAlign w:val="bottom"/>
            <w:gridSpan w:val="26"/>
          </w:tcPr>
          <w:p>
            <w:pPr>
              <w:ind w:left="160"/>
              <w:spacing w:after="0"/>
              <w:rPr>
                <w:sz w:val="20"/>
                <w:szCs w:val="20"/>
                <w:color w:val="auto"/>
              </w:rPr>
            </w:pPr>
            <w:r>
              <w:rPr>
                <w:rFonts w:ascii="Times New Roman" w:cs="Times New Roman" w:eastAsia="Times New Roman" w:hAnsi="Times New Roman"/>
                <w:sz w:val="20"/>
                <w:szCs w:val="20"/>
                <w:color w:val="auto"/>
              </w:rPr>
              <w:t>The following table summarizes other supplemental information about the Company’s operating leases: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restart"/>
          </w:tcPr>
          <w:p>
            <w:pPr>
              <w:spacing w:after="0"/>
              <w:rPr>
                <w:sz w:val="22"/>
                <w:szCs w:val="22"/>
                <w:color w:val="auto"/>
              </w:rPr>
            </w:pPr>
          </w:p>
        </w:tc>
        <w:tc>
          <w:tcPr>
            <w:tcW w:w="180" w:type="dxa"/>
            <w:vAlign w:val="bottom"/>
            <w:gridSpan w:val="3"/>
            <w:vMerge w:val="restart"/>
          </w:tcPr>
          <w:p>
            <w:pPr>
              <w:spacing w:after="0"/>
              <w:rPr>
                <w:sz w:val="22"/>
                <w:szCs w:val="22"/>
                <w:color w:val="auto"/>
              </w:rPr>
            </w:pPr>
          </w:p>
        </w:tc>
        <w:tc>
          <w:tcPr>
            <w:tcW w:w="180" w:type="dxa"/>
            <w:vAlign w:val="bottom"/>
            <w:gridSpan w:val="3"/>
            <w:vMerge w:val="restart"/>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4"/>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140" w:type="dxa"/>
            <w:vAlign w:val="bottom"/>
            <w:vMerge w:val="continue"/>
          </w:tcPr>
          <w:p>
            <w:pPr>
              <w:spacing w:after="0"/>
              <w:rPr>
                <w:sz w:val="11"/>
                <w:szCs w:val="11"/>
                <w:color w:val="auto"/>
              </w:rPr>
            </w:pPr>
          </w:p>
        </w:tc>
        <w:tc>
          <w:tcPr>
            <w:tcW w:w="180" w:type="dxa"/>
            <w:vAlign w:val="bottom"/>
            <w:gridSpan w:val="3"/>
            <w:vMerge w:val="continue"/>
          </w:tcPr>
          <w:p>
            <w:pPr>
              <w:spacing w:after="0"/>
              <w:rPr>
                <w:sz w:val="11"/>
                <w:szCs w:val="11"/>
                <w:color w:val="auto"/>
              </w:rPr>
            </w:pPr>
          </w:p>
        </w:tc>
        <w:tc>
          <w:tcPr>
            <w:tcW w:w="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 w:type="dxa"/>
            <w:vAlign w:val="bottom"/>
            <w:tcBorders>
              <w:bottom w:val="single" w:sz="8" w:color="EAEAEA"/>
            </w:tcBorders>
          </w:tcPr>
          <w:p>
            <w:pPr>
              <w:spacing w:after="0"/>
              <w:rPr>
                <w:sz w:val="16"/>
                <w:szCs w:val="16"/>
                <w:color w:val="auto"/>
              </w:rPr>
            </w:pPr>
          </w:p>
        </w:tc>
        <w:tc>
          <w:tcPr>
            <w:tcW w:w="6100" w:type="dxa"/>
            <w:vAlign w:val="bottom"/>
            <w:tcBorders>
              <w:bottom w:val="single" w:sz="8" w:color="EAEAEA"/>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6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100" w:type="dxa"/>
            <w:vAlign w:val="bottom"/>
            <w:tcBorders>
              <w:bottom w:val="single" w:sz="8" w:color="EAEAEA"/>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0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Weighted average discount rate</w:t>
            </w:r>
          </w:p>
        </w:tc>
        <w:tc>
          <w:tcPr>
            <w:tcW w:w="4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spacing w:after="0"/>
              <w:rPr>
                <w:sz w:val="17"/>
                <w:szCs w:val="17"/>
                <w:color w:val="auto"/>
              </w:rPr>
            </w:pPr>
          </w:p>
        </w:tc>
        <w:tc>
          <w:tcPr>
            <w:tcW w:w="660" w:type="dxa"/>
            <w:vAlign w:val="bottom"/>
            <w:tcBorders>
              <w:bottom w:val="single" w:sz="8" w:color="EAEAEA"/>
            </w:tcBorders>
            <w:gridSpan w:val="3"/>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87"/>
                <w:shd w:val="clear" w:color="auto" w:fill="EAEAEA"/>
              </w:rPr>
              <w:t>4.7</w:t>
            </w:r>
          </w:p>
        </w:tc>
        <w:tc>
          <w:tcPr>
            <w:tcW w:w="20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800" w:type="dxa"/>
            <w:vAlign w:val="bottom"/>
            <w:tcBorders>
              <w:bottom w:val="single" w:sz="8" w:color="EAEAEA"/>
            </w:tcBorders>
            <w:gridSpan w:val="3"/>
            <w:shd w:val="clear" w:color="auto" w:fill="EAEAEA"/>
          </w:tcPr>
          <w:p>
            <w:pPr>
              <w:spacing w:after="0"/>
              <w:rPr>
                <w:sz w:val="17"/>
                <w:szCs w:val="17"/>
                <w:color w:val="auto"/>
              </w:rPr>
            </w:pPr>
          </w:p>
        </w:tc>
        <w:tc>
          <w:tcPr>
            <w:tcW w:w="260" w:type="dxa"/>
            <w:vAlign w:val="bottom"/>
            <w:tcBorders>
              <w:bottom w:val="single" w:sz="8" w:color="EAEAEA"/>
            </w:tcBorders>
            <w:gridSpan w:val="2"/>
            <w:shd w:val="clear" w:color="auto" w:fill="EAEAEA"/>
          </w:tcPr>
          <w:p>
            <w:pPr>
              <w:jc w:val="right"/>
              <w:ind w:right="20"/>
              <w:spacing w:after="0" w:line="184" w:lineRule="exact"/>
              <w:rPr>
                <w:sz w:val="20"/>
                <w:szCs w:val="20"/>
                <w:color w:val="auto"/>
              </w:rPr>
            </w:pPr>
            <w:r>
              <w:rPr>
                <w:rFonts w:ascii="Times New Roman" w:cs="Times New Roman" w:eastAsia="Times New Roman" w:hAnsi="Times New Roman"/>
                <w:sz w:val="20"/>
                <w:szCs w:val="20"/>
                <w:color w:val="auto"/>
                <w:w w:val="87"/>
                <w:shd w:val="clear" w:color="auto" w:fill="EAEAEA"/>
              </w:rPr>
              <w:t>4.6</w:t>
            </w:r>
          </w:p>
        </w:tc>
        <w:tc>
          <w:tcPr>
            <w:tcW w:w="18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660" w:type="dxa"/>
            <w:vAlign w:val="bottom"/>
            <w:tcBorders>
              <w:bottom w:val="single" w:sz="8" w:color="EAEAEA"/>
            </w:tcBorders>
            <w:gridSpan w:val="5"/>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87"/>
                <w:shd w:val="clear" w:color="auto" w:fill="EAEAEA"/>
              </w:rPr>
              <w:t>4.4</w:t>
            </w:r>
          </w:p>
        </w:tc>
        <w:tc>
          <w:tcPr>
            <w:tcW w:w="160" w:type="dxa"/>
            <w:vAlign w:val="bottom"/>
            <w:tcBorders>
              <w:bottom w:val="single" w:sz="8" w:color="EAEAEA"/>
            </w:tcBorders>
            <w:gridSpan w:val="4"/>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w w:val="97"/>
              </w:rPr>
              <w:t>8 years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5"/>
          </w:tcPr>
          <w:p>
            <w:pPr>
              <w:ind w:left="480"/>
              <w:spacing w:after="0"/>
              <w:rPr>
                <w:sz w:val="20"/>
                <w:szCs w:val="20"/>
                <w:color w:val="auto"/>
              </w:rPr>
            </w:pPr>
            <w:r>
              <w:rPr>
                <w:rFonts w:ascii="Times New Roman" w:cs="Times New Roman" w:eastAsia="Times New Roman" w:hAnsi="Times New Roman"/>
                <w:sz w:val="20"/>
                <w:szCs w:val="20"/>
                <w:color w:val="auto"/>
                <w:w w:val="97"/>
              </w:rPr>
              <w:t>8 years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9 years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-1922780</wp:posOffset>
            </wp:positionV>
            <wp:extent cx="280225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9">
                      <a:extLst>
                        <a:ext uri="{28A0092B-C50C-407E-A947-70E740481C1C}"/>
                      </a:extLst>
                    </a:blip>
                    <a:srcRect/>
                    <a:stretch>
                      <a:fillRect/>
                    </a:stretch>
                  </pic:blipFill>
                  <pic:spPr bwMode="auto">
                    <a:xfrm>
                      <a:off x="0" y="0"/>
                      <a:ext cx="2802255" cy="3492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-463550</wp:posOffset>
            </wp:positionV>
            <wp:extent cx="274764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0">
                      <a:extLst>
                        <a:ext uri="{28A0092B-C50C-407E-A947-70E740481C1C}"/>
                      </a:extLst>
                    </a:blip>
                    <a:srcRect/>
                    <a:stretch>
                      <a:fillRect/>
                    </a:stretch>
                  </pic:blipFill>
                  <pic:spPr bwMode="auto">
                    <a:xfrm>
                      <a:off x="0" y="0"/>
                      <a:ext cx="2747645" cy="34925"/>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-327660</wp:posOffset>
            </wp:positionV>
            <wp:extent cx="77787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1">
                      <a:extLst>
                        <a:ext uri="{28A0092B-C50C-407E-A947-70E740481C1C}"/>
                      </a:extLst>
                    </a:blip>
                    <a:srcRect/>
                    <a:stretch>
                      <a:fillRect/>
                    </a:stretch>
                  </pic:blipFill>
                  <pic:spPr bwMode="auto">
                    <a:xfrm>
                      <a:off x="0" y="0"/>
                      <a:ext cx="777875" cy="2540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Impairments</w:t>
      </w:r>
    </w:p>
    <w:p>
      <w:pPr>
        <w:spacing w:after="0" w:line="20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During the fourth quarter of 2024, the Company recognized a $56.3 million non-cash impairment charge in the KDS segment primarily associated with conventional diesel fracturing equipment inventory. Based on the current market conditions and its vi w on the industry outlook, including decreased customer demand for conventional diesel fracturing equipment driven by an industry-wide</w:t>
      </w:r>
    </w:p>
    <w:p>
      <w:pPr>
        <w:spacing w:after="0" w:line="2" w:lineRule="exact"/>
        <w:rPr>
          <w:sz w:val="20"/>
          <w:szCs w:val="20"/>
          <w:color w:val="auto"/>
        </w:rPr>
      </w:pPr>
    </w:p>
    <w:p>
      <w:pPr>
        <w:jc w:val="both"/>
        <w:ind w:firstLine="3"/>
        <w:spacing w:after="0"/>
        <w:rPr>
          <w:sz w:val="20"/>
          <w:szCs w:val="20"/>
          <w:color w:val="auto"/>
        </w:rPr>
      </w:pPr>
      <w:r>
        <w:rPr>
          <w:rFonts w:ascii="Times New Roman" w:cs="Times New Roman" w:eastAsia="Times New Roman" w:hAnsi="Times New Roman"/>
          <w:sz w:val="20"/>
          <w:szCs w:val="20"/>
          <w:color w:val="auto"/>
        </w:rPr>
        <w:t>shift to electric fracturing equipment, the Company determined that certain inventory had limited commercial opportunity, and the cost of these inventories exceeded its net realizable value. The Company determined the net realizable value of the inventory using a combination of the cost and market approaches.</w:t>
      </w:r>
    </w:p>
    <w:p>
      <w:pPr>
        <w:spacing w:after="0" w:line="20" w:lineRule="exact"/>
        <w:rPr>
          <w:sz w:val="20"/>
          <w:szCs w:val="20"/>
          <w:color w:val="auto"/>
        </w:r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Stock Award Plans</w:t>
      </w:r>
    </w:p>
    <w:p>
      <w:pPr>
        <w:spacing w:after="0" w:line="20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has share-based compensation plans which are described below. The compensation cost that has been charged against earnings for the Company’s stock award plans and the income tax benefit recognized in the statement of earnings for stock awards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780" w:type="dxa"/>
            <w:vAlign w:val="bottom"/>
            <w:gridSpan w:val="6"/>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320" w:type="dxa"/>
            <w:vAlign w:val="bottom"/>
            <w:tcBorders>
              <w:bottom w:val="single" w:sz="8" w:color="EAEAEA"/>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EAEAEA"/>
            </w:tcBorders>
          </w:tcPr>
          <w:p>
            <w:pPr>
              <w:spacing w:after="0"/>
              <w:rPr>
                <w:sz w:val="16"/>
                <w:szCs w:val="16"/>
                <w:color w:val="auto"/>
              </w:rPr>
            </w:pPr>
          </w:p>
        </w:tc>
        <w:tc>
          <w:tcPr>
            <w:tcW w:w="80" w:type="dxa"/>
            <w:vAlign w:val="bottom"/>
            <w:tcBorders>
              <w:top w:val="single" w:sz="8" w:color="auto"/>
              <w:bottom w:val="single" w:sz="8" w:color="EAEAEA"/>
            </w:tcBorders>
          </w:tcPr>
          <w:p>
            <w:pPr>
              <w:spacing w:after="0"/>
              <w:rPr>
                <w:sz w:val="16"/>
                <w:szCs w:val="16"/>
                <w:color w:val="auto"/>
              </w:rPr>
            </w:pPr>
          </w:p>
        </w:tc>
        <w:tc>
          <w:tcPr>
            <w:tcW w:w="16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20" w:type="dxa"/>
            <w:vAlign w:val="bottom"/>
            <w:tcBorders>
              <w:bottom w:val="single" w:sz="8" w:color="EAEAEA"/>
            </w:tcBorders>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Compensation cost</w:t>
            </w:r>
          </w:p>
        </w:tc>
        <w:tc>
          <w:tcPr>
            <w:tcW w:w="280" w:type="dxa"/>
            <w:vAlign w:val="bottom"/>
            <w:tcBorders>
              <w:bottom w:val="single" w:sz="8" w:color="EAEAEA"/>
            </w:tcBorders>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w:t>
            </w:r>
          </w:p>
        </w:tc>
        <w:tc>
          <w:tcPr>
            <w:tcW w:w="102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17,563</w:t>
            </w:r>
          </w:p>
        </w:tc>
        <w:tc>
          <w:tcPr>
            <w:tcW w:w="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2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15,549</w:t>
            </w: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jc w:val="right"/>
              <w:ind w:right="100"/>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14,941</w:t>
            </w:r>
          </w:p>
        </w:tc>
        <w:tc>
          <w:tcPr>
            <w:tcW w:w="8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-464185</wp:posOffset>
            </wp:positionV>
            <wp:extent cx="282511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2">
                      <a:extLst>
                        <a:ext uri="{28A0092B-C50C-407E-A947-70E740481C1C}"/>
                      </a:extLst>
                    </a:blip>
                    <a:srcRect/>
                    <a:stretch>
                      <a:fillRect/>
                    </a:stretch>
                  </pic:blipFill>
                  <pic:spPr bwMode="auto">
                    <a:xfrm>
                      <a:off x="0" y="0"/>
                      <a:ext cx="2825115" cy="34925"/>
                    </a:xfrm>
                    <a:prstGeom prst="rect">
                      <a:avLst/>
                    </a:prstGeom>
                    <a:noFill/>
                  </pic:spPr>
                </pic:pic>
              </a:graphicData>
            </a:graphic>
          </wp:anchor>
        </w:drawing>
      </w:r>
    </w:p>
    <w:p>
      <w:pPr>
        <w:spacing w:after="0" w:line="15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has an employee stock award plan for selected officers and other key employees which provides for the issuance of RSUs, stock options, restricted stock awards, and performance awards. Restricted stock and RSUs generally vest ratably over fiv years, however, the plan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At December 31, 2025, there were 1,781,000 shares available for future grants under the Plan.</w:t>
      </w:r>
    </w:p>
    <w:p>
      <w:pPr>
        <w:sectPr>
          <w:pgSz w:w="12240" w:h="15840" w:orient="portrait"/>
          <w:cols w:equalWidth="0" w:num="1">
            <w:col w:w="10800"/>
          </w:cols>
          <w:pgMar w:left="720" w:top="929" w:right="720" w:bottom="176"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929" w:right="720" w:bottom="176" w:gutter="0" w:footer="0" w:header="0"/>
          <w:type w:val="continuous"/>
        </w:sectPr>
      </w:pPr>
    </w:p>
    <w:bookmarkStart w:id="78" w:name="page79"/>
    <w:bookmarkEnd w:id="78"/>
    <w:p>
      <w:pPr>
        <w:ind w:left="360"/>
        <w:spacing w:after="0"/>
        <w:rPr>
          <w:sz w:val="20"/>
          <w:szCs w:val="20"/>
          <w:color w:val="auto"/>
        </w:rPr>
      </w:pPr>
      <w:r>
        <w:rPr>
          <w:rFonts w:ascii="Times New Roman" w:cs="Times New Roman" w:eastAsia="Times New Roman" w:hAnsi="Times New Roman"/>
          <w:sz w:val="20"/>
          <w:szCs w:val="20"/>
          <w:color w:val="auto"/>
        </w:rPr>
        <w:t>The exercise price for each option equals the fair market value per share of the Company’s common stock on the date of grant.</w:t>
      </w:r>
    </w:p>
    <w:p>
      <w:pPr>
        <w:spacing w:after="0" w:line="29" w:lineRule="exact"/>
        <w:rPr>
          <w:sz w:val="20"/>
          <w:szCs w:val="20"/>
          <w:color w:val="auto"/>
        </w:rPr>
      </w:pPr>
    </w:p>
    <w:p>
      <w:pPr>
        <w:jc w:val="both"/>
        <w:ind w:firstLine="12"/>
        <w:spacing w:after="0" w:line="244" w:lineRule="auto"/>
        <w:rPr>
          <w:sz w:val="20"/>
          <w:szCs w:val="20"/>
          <w:color w:val="auto"/>
        </w:rPr>
      </w:pPr>
      <w:r>
        <w:rPr>
          <w:rFonts w:ascii="Times New Roman" w:cs="Times New Roman" w:eastAsia="Times New Roman" w:hAnsi="Times New Roman"/>
          <w:sz w:val="20"/>
          <w:szCs w:val="20"/>
          <w:color w:val="auto"/>
        </w:rPr>
        <w:t>Substantially all stock options outstanding under the plan have terms of seven years and vest ratably over three years. No perf</w:t>
      </w:r>
      <w:r>
        <w:rPr>
          <w:sz w:val="1"/>
          <w:szCs w:val="1"/>
          <w:color w:val="auto"/>
        </w:rPr>
        <w:drawing>
          <wp:inline distT="0" distB="0" distL="0" distR="0">
            <wp:extent cx="9525" cy="4699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3">
                      <a:extLst>
                        <a:ext uri="{28A0092B-C50C-407E-A947-70E740481C1C}"/>
                      </a:extLst>
                    </a:blip>
                    <a:srcRect/>
                    <a:stretch>
                      <a:fillRect/>
                    </a:stretch>
                  </pic:blipFill>
                  <pic:spPr bwMode="auto">
                    <a:xfrm>
                      <a:off x="0" y="0"/>
                      <a:ext cx="9525" cy="4699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rmanc awards payable in stock have been awarded under the plan and no outstanding stock options under the employee plan were issued with stock appreciation rights.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summary of the stock option activity under the employee plan described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7820" w:type="dxa"/>
            <w:vAlign w:val="bottom"/>
          </w:tcPr>
          <w:p>
            <w:pPr>
              <w:spacing w:after="0"/>
              <w:rPr>
                <w:sz w:val="16"/>
                <w:szCs w:val="16"/>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Non-Qualified or</w:t>
            </w:r>
          </w:p>
        </w:tc>
        <w:tc>
          <w:tcPr>
            <w:tcW w:w="80" w:type="dxa"/>
            <w:vAlign w:val="bottom"/>
          </w:tcPr>
          <w:p>
            <w:pPr>
              <w:spacing w:after="0"/>
              <w:rPr>
                <w:sz w:val="16"/>
                <w:szCs w:val="16"/>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r>
      <w:tr>
        <w:trPr>
          <w:trHeight w:val="184"/>
        </w:trPr>
        <w:tc>
          <w:tcPr>
            <w:tcW w:w="782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Nonincentive</w:t>
            </w:r>
          </w:p>
        </w:tc>
        <w:tc>
          <w:tcPr>
            <w:tcW w:w="80" w:type="dxa"/>
            <w:vAlign w:val="bottom"/>
          </w:tcPr>
          <w:p>
            <w:pPr>
              <w:spacing w:after="0"/>
              <w:rPr>
                <w:sz w:val="16"/>
                <w:szCs w:val="16"/>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r>
      <w:tr>
        <w:trPr>
          <w:trHeight w:val="184"/>
        </w:trPr>
        <w:tc>
          <w:tcPr>
            <w:tcW w:w="782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 Option</w:t>
            </w:r>
          </w:p>
        </w:tc>
        <w:tc>
          <w:tcPr>
            <w:tcW w:w="80" w:type="dxa"/>
            <w:vAlign w:val="bottom"/>
          </w:tcPr>
          <w:p>
            <w:pPr>
              <w:spacing w:after="0"/>
              <w:rPr>
                <w:sz w:val="16"/>
                <w:szCs w:val="16"/>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6"/>
                <w:szCs w:val="16"/>
                <w:color w:val="auto"/>
              </w:rPr>
            </w:pPr>
          </w:p>
        </w:tc>
      </w:tr>
      <w:tr>
        <w:trPr>
          <w:trHeight w:val="203"/>
        </w:trPr>
        <w:tc>
          <w:tcPr>
            <w:tcW w:w="7820" w:type="dxa"/>
            <w:vAlign w:val="bottom"/>
          </w:tcPr>
          <w:p>
            <w:pPr>
              <w:spacing w:after="0"/>
              <w:rPr>
                <w:sz w:val="17"/>
                <w:szCs w:val="17"/>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80" w:type="dxa"/>
            <w:vAlign w:val="bottom"/>
          </w:tcPr>
          <w:p>
            <w:pPr>
              <w:spacing w:after="0"/>
              <w:rPr>
                <w:sz w:val="17"/>
                <w:szCs w:val="17"/>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60" w:type="dxa"/>
            <w:vAlign w:val="bottom"/>
          </w:tcPr>
          <w:p>
            <w:pPr>
              <w:spacing w:after="0"/>
              <w:rPr>
                <w:sz w:val="17"/>
                <w:szCs w:val="17"/>
                <w:color w:val="auto"/>
              </w:rPr>
            </w:pPr>
          </w:p>
        </w:tc>
      </w:tr>
      <w:tr>
        <w:trPr>
          <w:trHeight w:val="205"/>
        </w:trPr>
        <w:tc>
          <w:tcPr>
            <w:tcW w:w="7820" w:type="dxa"/>
            <w:vAlign w:val="bottom"/>
            <w:tcBorders>
              <w:top w:val="single" w:sz="8" w:color="EAEAEA"/>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Outstanding at December 31, 2024</w:t>
            </w:r>
          </w:p>
        </w:tc>
        <w:tc>
          <w:tcPr>
            <w:tcW w:w="1340" w:type="dxa"/>
            <w:vAlign w:val="bottom"/>
            <w:tcBorders>
              <w:top w:val="single" w:sz="8" w:color="auto"/>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130,848</w:t>
            </w:r>
          </w:p>
        </w:tc>
        <w:tc>
          <w:tcPr>
            <w:tcW w:w="20" w:type="dxa"/>
            <w:vAlign w:val="bottom"/>
            <w:tcBorders>
              <w:top w:val="single" w:sz="8" w:color="EAEAEA"/>
              <w:bottom w:val="single" w:sz="8" w:color="EAEAEA"/>
            </w:tcBorders>
            <w:shd w:val="clear" w:color="auto" w:fill="EAEAEA"/>
          </w:tcPr>
          <w:p>
            <w:pPr>
              <w:spacing w:after="0"/>
              <w:rPr>
                <w:sz w:val="17"/>
                <w:szCs w:val="17"/>
                <w:color w:val="auto"/>
              </w:rPr>
            </w:pPr>
          </w:p>
        </w:tc>
        <w:tc>
          <w:tcPr>
            <w:tcW w:w="240" w:type="dxa"/>
            <w:vAlign w:val="bottom"/>
            <w:tcBorders>
              <w:top w:val="single" w:sz="8" w:color="EAEAEA"/>
              <w:bottom w:val="single" w:sz="8" w:color="EAEAEA"/>
            </w:tcBorders>
            <w:shd w:val="clear" w:color="auto" w:fill="EAEAEA"/>
          </w:tcPr>
          <w:p>
            <w:pPr>
              <w:spacing w:after="0"/>
              <w:rPr>
                <w:sz w:val="17"/>
                <w:szCs w:val="17"/>
                <w:color w:val="auto"/>
              </w:rPr>
            </w:pPr>
          </w:p>
        </w:tc>
        <w:tc>
          <w:tcPr>
            <w:tcW w:w="80" w:type="dxa"/>
            <w:vAlign w:val="bottom"/>
            <w:tcBorders>
              <w:top w:val="single" w:sz="8" w:color="auto"/>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40" w:type="dxa"/>
            <w:vAlign w:val="bottom"/>
            <w:tcBorders>
              <w:top w:val="single" w:sz="8" w:color="auto"/>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73.66</w:t>
            </w:r>
          </w:p>
        </w:tc>
        <w:tc>
          <w:tcPr>
            <w:tcW w:w="60" w:type="dxa"/>
            <w:vAlign w:val="bottom"/>
            <w:tcBorders>
              <w:top w:val="single" w:sz="8" w:color="EAEAEA"/>
              <w:bottom w:val="single" w:sz="8" w:color="EAEAEA"/>
            </w:tcBorders>
            <w:shd w:val="clear" w:color="auto" w:fill="EAEAEA"/>
          </w:tcPr>
          <w:p>
            <w:pPr>
              <w:spacing w:after="0"/>
              <w:rPr>
                <w:sz w:val="17"/>
                <w:szCs w:val="17"/>
                <w:color w:val="auto"/>
              </w:rPr>
            </w:pPr>
          </w:p>
        </w:tc>
      </w:tr>
      <w:tr>
        <w:trPr>
          <w:trHeight w:val="230"/>
        </w:trPr>
        <w:tc>
          <w:tcPr>
            <w:tcW w:w="7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(69,390)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73.96</w:t>
            </w:r>
          </w:p>
        </w:tc>
        <w:tc>
          <w:tcPr>
            <w:tcW w:w="60" w:type="dxa"/>
            <w:vAlign w:val="bottom"/>
          </w:tcPr>
          <w:p>
            <w:pPr>
              <w:spacing w:after="0"/>
              <w:rPr>
                <w:sz w:val="20"/>
                <w:szCs w:val="20"/>
                <w:color w:val="auto"/>
              </w:rPr>
            </w:pPr>
          </w:p>
        </w:tc>
      </w:tr>
      <w:tr>
        <w:trPr>
          <w:trHeight w:val="230"/>
        </w:trPr>
        <w:tc>
          <w:tcPr>
            <w:tcW w:w="7820" w:type="dxa"/>
            <w:vAlign w:val="bottom"/>
            <w:tcBorders>
              <w:bottom w:val="single" w:sz="8" w:color="EAEAEA"/>
            </w:tcBorders>
            <w:shd w:val="clear" w:color="auto" w:fill="EAEAEA"/>
          </w:tcPr>
          <w:p>
            <w:pPr>
              <w:ind w:left="200"/>
              <w:spacing w:after="0" w:line="202" w:lineRule="exact"/>
              <w:rPr>
                <w:sz w:val="20"/>
                <w:szCs w:val="20"/>
                <w:color w:val="auto"/>
              </w:rPr>
            </w:pPr>
            <w:r>
              <w:rPr>
                <w:rFonts w:ascii="Times New Roman" w:cs="Times New Roman" w:eastAsia="Times New Roman" w:hAnsi="Times New Roman"/>
                <w:sz w:val="20"/>
                <w:szCs w:val="20"/>
                <w:color w:val="auto"/>
                <w:shd w:val="clear" w:color="auto" w:fill="EAEAEA"/>
              </w:rPr>
              <w:t>Expired</w:t>
            </w:r>
          </w:p>
        </w:tc>
        <w:tc>
          <w:tcPr>
            <w:tcW w:w="134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4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4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r>
      <w:tr>
        <w:trPr>
          <w:trHeight w:val="225"/>
        </w:trPr>
        <w:tc>
          <w:tcPr>
            <w:tcW w:w="7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Outstanding at December 31, 2025</w:t>
            </w:r>
          </w:p>
        </w:tc>
        <w:tc>
          <w:tcPr>
            <w:tcW w:w="13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61,458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73.32</w:t>
            </w:r>
          </w:p>
        </w:tc>
        <w:tc>
          <w:tcPr>
            <w:tcW w:w="6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-634365</wp:posOffset>
            </wp:positionV>
            <wp:extent cx="86677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4">
                      <a:extLst>
                        <a:ext uri="{28A0092B-C50C-407E-A947-70E740481C1C}"/>
                      </a:extLst>
                    </a:blip>
                    <a:srcRect/>
                    <a:stretch>
                      <a:fillRect/>
                    </a:stretch>
                  </pic:blipFill>
                  <pic:spPr bwMode="auto">
                    <a:xfrm>
                      <a:off x="0" y="0"/>
                      <a:ext cx="866775" cy="25400"/>
                    </a:xfrm>
                    <a:prstGeom prst="rect">
                      <a:avLst/>
                    </a:prstGeom>
                    <a:noFill/>
                  </pic:spPr>
                </pic:pic>
              </a:graphicData>
            </a:graphic>
          </wp:anchor>
        </w:drawing>
      </w:r>
    </w:p>
    <w:p>
      <w:pPr>
        <w:spacing w:after="0" w:line="19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information about the Company’s outstanding and exercisable stock options under the employee plan at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1420" w:type="dxa"/>
            <w:vAlign w:val="bottom"/>
            <w:gridSpan w:val="4"/>
          </w:tcPr>
          <w:p>
            <w:pPr>
              <w:spacing w:after="0"/>
              <w:rPr>
                <w:sz w:val="2"/>
                <w:szCs w:val="2"/>
                <w:color w:val="auto"/>
              </w:rPr>
            </w:pPr>
          </w:p>
        </w:tc>
        <w:tc>
          <w:tcPr>
            <w:tcW w:w="4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80" w:type="dxa"/>
            <w:vAlign w:val="bottom"/>
            <w:gridSpan w:val="4"/>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20" w:type="dxa"/>
            <w:vAlign w:val="bottom"/>
            <w:gridSpan w:val="4"/>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7"/>
              </w:rPr>
              <w:t>Options Outstanding</w:t>
            </w: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380" w:type="dxa"/>
            <w:vAlign w:val="bottom"/>
            <w:gridSpan w:val="4"/>
          </w:tcPr>
          <w:p>
            <w:pPr>
              <w:jc w:val="center"/>
              <w:spacing w:after="0" w:line="143" w:lineRule="exact"/>
              <w:rPr>
                <w:sz w:val="20"/>
                <w:szCs w:val="20"/>
                <w:color w:val="auto"/>
              </w:rPr>
            </w:pPr>
            <w:r>
              <w:rPr>
                <w:rFonts w:ascii="Times New Roman" w:cs="Times New Roman" w:eastAsia="Times New Roman" w:hAnsi="Times New Roman"/>
                <w:sz w:val="16"/>
                <w:szCs w:val="16"/>
                <w:b w:val="1"/>
                <w:bCs w:val="1"/>
                <w:u w:val="single" w:color="auto"/>
                <w:color w:val="auto"/>
              </w:rPr>
              <w:t>Options Exercisab</w:t>
            </w:r>
            <w:r>
              <w:rPr>
                <w:rFonts w:ascii="Times New Roman" w:cs="Times New Roman" w:eastAsia="Times New Roman" w:hAnsi="Times New Roman"/>
                <w:sz w:val="16"/>
                <w:szCs w:val="16"/>
                <w:b w:val="1"/>
                <w:bCs w:val="1"/>
                <w:color w:val="auto"/>
              </w:rPr>
              <w:t>le</w:t>
            </w: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Aggregated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0" w:type="dxa"/>
            <w:vAlign w:val="bottom"/>
          </w:tcPr>
          <w:p>
            <w:pPr>
              <w:spacing w:after="0"/>
              <w:rPr>
                <w:sz w:val="16"/>
                <w:szCs w:val="16"/>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Aggregated</w:t>
            </w: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6"/>
                <w:szCs w:val="16"/>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84"/>
        </w:trPr>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 of Exercise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Life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20" w:type="dxa"/>
            <w:vAlign w:val="bottom"/>
          </w:tcPr>
          <w:p>
            <w:pPr>
              <w:spacing w:after="0"/>
              <w:rPr>
                <w:sz w:val="16"/>
                <w:szCs w:val="16"/>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6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12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gridSpan w:val="3"/>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highlight w:val="white"/>
                <w:w w:val="98"/>
              </w:rPr>
              <w:t>Outstanding</w:t>
            </w:r>
          </w:p>
        </w:tc>
        <w:tc>
          <w:tcPr>
            <w:tcW w:w="1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highlight w:val="white"/>
                <w:w w:val="98"/>
              </w:rPr>
              <w:t>(in thousands)</w:t>
            </w:r>
          </w:p>
        </w:tc>
        <w:tc>
          <w:tcPr>
            <w:tcW w:w="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highlight w:val="white"/>
                <w:w w:val="96"/>
              </w:rPr>
              <w:t>(in thousands)</w:t>
            </w:r>
          </w:p>
        </w:tc>
        <w:tc>
          <w:tcPr>
            <w:tcW w:w="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1376680</wp:posOffset>
                </wp:positionH>
                <wp:positionV relativeFrom="paragraph">
                  <wp:posOffset>-9525</wp:posOffset>
                </wp:positionV>
                <wp:extent cx="76835" cy="164465"/>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35" cy="164465"/>
                        </a:xfrm>
                        <a:prstGeom prst="rect">
                          <a:avLst/>
                        </a:prstGeom>
                        <a:solidFill>
                          <a:srgbClr val="EAEAEA"/>
                        </a:solidFill>
                      </wps:spPr>
                      <wps:bodyPr/>
                    </wps:wsp>
                  </a:graphicData>
                </a:graphic>
              </wp:anchor>
            </w:drawing>
          </mc:Choice>
          <mc:Fallback>
            <w:pict>
              <v:rect id="Shape 151" o:spid="_x0000_s1176" style="position:absolute;margin-left:108.4pt;margin-top:-0.7499pt;width:6.0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2108835</wp:posOffset>
                </wp:positionH>
                <wp:positionV relativeFrom="paragraph">
                  <wp:posOffset>-9525</wp:posOffset>
                </wp:positionV>
                <wp:extent cx="141605" cy="16446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605" cy="164465"/>
                        </a:xfrm>
                        <a:prstGeom prst="rect">
                          <a:avLst/>
                        </a:prstGeom>
                        <a:solidFill>
                          <a:srgbClr val="EAEAEA"/>
                        </a:solidFill>
                      </wps:spPr>
                      <wps:bodyPr/>
                    </wps:wsp>
                  </a:graphicData>
                </a:graphic>
              </wp:anchor>
            </w:drawing>
          </mc:Choice>
          <mc:Fallback>
            <w:pict>
              <v:rect id="Shape 152" o:spid="_x0000_s1177" style="position:absolute;margin-left:166.05pt;margin-top:-0.7499pt;width:11.1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2906395</wp:posOffset>
                </wp:positionH>
                <wp:positionV relativeFrom="paragraph">
                  <wp:posOffset>-9525</wp:posOffset>
                </wp:positionV>
                <wp:extent cx="141605" cy="16446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605" cy="164465"/>
                        </a:xfrm>
                        <a:prstGeom prst="rect">
                          <a:avLst/>
                        </a:prstGeom>
                        <a:solidFill>
                          <a:srgbClr val="EAEAEA"/>
                        </a:solidFill>
                      </wps:spPr>
                      <wps:bodyPr/>
                    </wps:wsp>
                  </a:graphicData>
                </a:graphic>
              </wp:anchor>
            </w:drawing>
          </mc:Choice>
          <mc:Fallback>
            <w:pict>
              <v:rect id="Shape 153" o:spid="_x0000_s1178" style="position:absolute;margin-left:228.85pt;margin-top:-0.7499pt;width:11.1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3684270</wp:posOffset>
                </wp:positionH>
                <wp:positionV relativeFrom="paragraph">
                  <wp:posOffset>-9525</wp:posOffset>
                </wp:positionV>
                <wp:extent cx="142240" cy="16446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 cy="164465"/>
                        </a:xfrm>
                        <a:prstGeom prst="rect">
                          <a:avLst/>
                        </a:prstGeom>
                        <a:solidFill>
                          <a:srgbClr val="EAEAEA"/>
                        </a:solidFill>
                      </wps:spPr>
                      <wps:bodyPr/>
                    </wps:wsp>
                  </a:graphicData>
                </a:graphic>
              </wp:anchor>
            </w:drawing>
          </mc:Choice>
          <mc:Fallback>
            <w:pict>
              <v:rect id="Shape 154" o:spid="_x0000_s1179" style="position:absolute;margin-left:290.1pt;margin-top:-0.7499pt;width:11.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4462780</wp:posOffset>
                </wp:positionH>
                <wp:positionV relativeFrom="paragraph">
                  <wp:posOffset>-9525</wp:posOffset>
                </wp:positionV>
                <wp:extent cx="142240" cy="16446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 cy="164465"/>
                        </a:xfrm>
                        <a:prstGeom prst="rect">
                          <a:avLst/>
                        </a:prstGeom>
                        <a:solidFill>
                          <a:srgbClr val="EAEAEA"/>
                        </a:solidFill>
                      </wps:spPr>
                      <wps:bodyPr/>
                    </wps:wsp>
                  </a:graphicData>
                </a:graphic>
              </wp:anchor>
            </w:drawing>
          </mc:Choice>
          <mc:Fallback>
            <w:pict>
              <v:rect id="Shape 155" o:spid="_x0000_s1180" style="position:absolute;margin-left:351.4pt;margin-top:-0.7499pt;width:11.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5260340</wp:posOffset>
                </wp:positionH>
                <wp:positionV relativeFrom="paragraph">
                  <wp:posOffset>-9525</wp:posOffset>
                </wp:positionV>
                <wp:extent cx="142240" cy="16446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 cy="164465"/>
                        </a:xfrm>
                        <a:prstGeom prst="rect">
                          <a:avLst/>
                        </a:prstGeom>
                        <a:solidFill>
                          <a:srgbClr val="EAEAEA"/>
                        </a:solidFill>
                      </wps:spPr>
                      <wps:bodyPr/>
                    </wps:wsp>
                  </a:graphicData>
                </a:graphic>
              </wp:anchor>
            </w:drawing>
          </mc:Choice>
          <mc:Fallback>
            <w:pict>
              <v:rect id="Shape 156" o:spid="_x0000_s1181" style="position:absolute;margin-left:414.2pt;margin-top:-0.7499pt;width:11.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6038850</wp:posOffset>
                </wp:positionH>
                <wp:positionV relativeFrom="paragraph">
                  <wp:posOffset>-9525</wp:posOffset>
                </wp:positionV>
                <wp:extent cx="142240" cy="16446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 cy="164465"/>
                        </a:xfrm>
                        <a:prstGeom prst="rect">
                          <a:avLst/>
                        </a:prstGeom>
                        <a:solidFill>
                          <a:srgbClr val="EAEAEA"/>
                        </a:solidFill>
                      </wps:spPr>
                      <wps:bodyPr/>
                    </wps:wsp>
                  </a:graphicData>
                </a:graphic>
              </wp:anchor>
            </w:drawing>
          </mc:Choice>
          <mc:Fallback>
            <w:pict>
              <v:rect id="Shape 157" o:spid="_x0000_s1182" style="position:absolute;margin-left:475.5pt;margin-top:-0.7499pt;width:11.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6817360</wp:posOffset>
                </wp:positionH>
                <wp:positionV relativeFrom="paragraph">
                  <wp:posOffset>-9525</wp:posOffset>
                </wp:positionV>
                <wp:extent cx="40005" cy="16446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 cy="164465"/>
                        </a:xfrm>
                        <a:prstGeom prst="rect">
                          <a:avLst/>
                        </a:prstGeom>
                        <a:solidFill>
                          <a:srgbClr val="EAEAEA"/>
                        </a:solidFill>
                      </wps:spPr>
                      <wps:bodyPr/>
                    </wps:wsp>
                  </a:graphicData>
                </a:graphic>
              </wp:anchor>
            </w:drawing>
          </mc:Choice>
          <mc:Fallback>
            <w:pict>
              <v:rect id="Shape 158" o:spid="_x0000_s1183" style="position:absolute;margin-left:536.8pt;margin-top:-0.7499pt;width:3.1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drawing>
          <wp:anchor simplePos="0" relativeHeight="251657728" behindDoc="1" locked="0" layoutInCell="0" allowOverlap="1">
            <wp:simplePos x="0" y="0"/>
            <wp:positionH relativeFrom="column">
              <wp:posOffset>1440815</wp:posOffset>
            </wp:positionH>
            <wp:positionV relativeFrom="paragraph">
              <wp:posOffset>-741045</wp:posOffset>
            </wp:positionV>
            <wp:extent cx="538924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5">
                      <a:extLst>
                        <a:ext uri="{28A0092B-C50C-407E-A947-70E740481C1C}"/>
                      </a:extLst>
                    </a:blip>
                    <a:srcRect/>
                    <a:stretch>
                      <a:fillRect/>
                    </a:stretch>
                  </pic:blipFill>
                  <pic:spPr bwMode="auto">
                    <a:xfrm>
                      <a:off x="0" y="0"/>
                      <a:ext cx="538924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54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4"/>
                <w:shd w:val="clear" w:color="auto" w:fill="EAEAEA"/>
              </w:rPr>
              <w:t>$73.29</w:t>
            </w:r>
          </w:p>
        </w:tc>
        <w:tc>
          <w:tcPr>
            <w:tcW w:w="7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EAEAEA"/>
            </w:tcBorders>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58,893</w:t>
            </w:r>
          </w:p>
        </w:tc>
        <w:tc>
          <w:tcPr>
            <w:tcW w:w="240" w:type="dxa"/>
            <w:vAlign w:val="bottom"/>
            <w:tcBorders>
              <w:left w:val="single" w:sz="8" w:color="EAEAEA"/>
            </w:tcBorders>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rPr>
              <w:t>1.0</w:t>
            </w:r>
          </w:p>
        </w:tc>
        <w:tc>
          <w:tcPr>
            <w:tcW w:w="220" w:type="dxa"/>
            <w:vAlign w:val="bottom"/>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4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w w:val="97"/>
                <w:shd w:val="clear" w:color="auto" w:fill="EAEAEA"/>
              </w:rPr>
              <w:t>73.29</w:t>
            </w:r>
          </w:p>
        </w:tc>
        <w:tc>
          <w:tcPr>
            <w:tcW w:w="220" w:type="dxa"/>
            <w:vAlign w:val="bottom"/>
          </w:tcPr>
          <w:p>
            <w:pPr>
              <w:spacing w:after="0"/>
              <w:rPr>
                <w:sz w:val="19"/>
                <w:szCs w:val="19"/>
                <w:color w:val="auto"/>
              </w:rPr>
            </w:pPr>
          </w:p>
        </w:tc>
        <w:tc>
          <w:tcPr>
            <w:tcW w:w="54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bottom w:val="single" w:sz="8" w:color="EAEAEA"/>
            </w:tcBorders>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58,893</w:t>
            </w:r>
          </w:p>
        </w:tc>
        <w:tc>
          <w:tcPr>
            <w:tcW w:w="240" w:type="dxa"/>
            <w:vAlign w:val="bottom"/>
            <w:tcBorders>
              <w:left w:val="single" w:sz="8" w:color="EAEAEA"/>
            </w:tcBorders>
          </w:tcPr>
          <w:p>
            <w:pPr>
              <w:spacing w:after="0"/>
              <w:rPr>
                <w:sz w:val="19"/>
                <w:szCs w:val="19"/>
                <w:color w:val="auto"/>
              </w:rPr>
            </w:pPr>
          </w:p>
        </w:tc>
        <w:tc>
          <w:tcPr>
            <w:tcW w:w="320" w:type="dxa"/>
            <w:vAlign w:val="bottom"/>
            <w:tcBorders>
              <w:bottom w:val="single" w:sz="8" w:color="EAEAEA"/>
            </w:tcBorders>
            <w:shd w:val="clear" w:color="auto" w:fill="EAEAEA"/>
          </w:tcPr>
          <w:p>
            <w:pPr>
              <w:jc w:val="right"/>
              <w:ind w:right="120"/>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4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right w:val="single" w:sz="8" w:color="EAEAEA"/>
            </w:tcBorders>
            <w:shd w:val="clear" w:color="auto" w:fill="EAEAEA"/>
          </w:tcPr>
          <w:p>
            <w:pPr>
              <w:jc w:val="center"/>
              <w:spacing w:after="0" w:line="204" w:lineRule="exact"/>
              <w:rPr>
                <w:sz w:val="20"/>
                <w:szCs w:val="20"/>
                <w:color w:val="auto"/>
              </w:rPr>
            </w:pPr>
            <w:r>
              <w:rPr>
                <w:rFonts w:ascii="Times New Roman" w:cs="Times New Roman" w:eastAsia="Times New Roman" w:hAnsi="Times New Roman"/>
                <w:sz w:val="20"/>
                <w:szCs w:val="20"/>
                <w:color w:val="auto"/>
                <w:w w:val="93"/>
                <w:shd w:val="clear" w:color="auto" w:fill="EAEAEA"/>
              </w:rPr>
              <w:t>73.29</w:t>
            </w:r>
          </w:p>
        </w:tc>
        <w:tc>
          <w:tcPr>
            <w:tcW w:w="220" w:type="dxa"/>
            <w:vAlign w:val="bottom"/>
          </w:tcPr>
          <w:p>
            <w:pPr>
              <w:spacing w:after="0"/>
              <w:rPr>
                <w:sz w:val="19"/>
                <w:szCs w:val="19"/>
                <w:color w:val="auto"/>
              </w:rPr>
            </w:pPr>
          </w:p>
        </w:tc>
        <w:tc>
          <w:tcPr>
            <w:tcW w:w="54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4"/>
              </w:rPr>
              <w:t>$73.93</w:t>
            </w: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w w:val="97"/>
              </w:rPr>
              <w:t>73.93</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vMerge w:val="restart"/>
          </w:tcPr>
          <w:p>
            <w:pPr>
              <w:jc w:val="center"/>
              <w:ind w:left="100"/>
              <w:spacing w:after="0"/>
              <w:rPr>
                <w:sz w:val="20"/>
                <w:szCs w:val="20"/>
                <w:color w:val="auto"/>
              </w:rPr>
            </w:pPr>
            <w:r>
              <w:rPr>
                <w:rFonts w:ascii="Times New Roman" w:cs="Times New Roman" w:eastAsia="Times New Roman" w:hAnsi="Times New Roman"/>
                <w:sz w:val="20"/>
                <w:szCs w:val="20"/>
                <w:color w:val="auto"/>
              </w:rPr>
              <w:t>73.93</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8"/>
              </w:rPr>
              <w:t>2,565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8"/>
              </w:rPr>
              <w:t>2,565</w:t>
            </w:r>
          </w:p>
        </w:tc>
        <w:tc>
          <w:tcPr>
            <w:tcW w:w="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EAEAEA"/>
            </w:tcBorders>
          </w:tcPr>
          <w:p>
            <w:pPr>
              <w:spacing w:after="0" w:line="20" w:lineRule="exact"/>
              <w:rPr>
                <w:sz w:val="1"/>
                <w:szCs w:val="1"/>
                <w:color w:val="auto"/>
              </w:rPr>
            </w:pPr>
          </w:p>
        </w:tc>
        <w:tc>
          <w:tcPr>
            <w:tcW w:w="740" w:type="dxa"/>
            <w:vAlign w:val="bottom"/>
            <w:tcBorders>
              <w:bottom w:val="single" w:sz="8" w:color="EAEAEA"/>
            </w:tcBorders>
          </w:tcPr>
          <w:p>
            <w:pPr>
              <w:spacing w:after="0" w:line="20" w:lineRule="exact"/>
              <w:rPr>
                <w:sz w:val="1"/>
                <w:szCs w:val="1"/>
                <w:color w:val="auto"/>
              </w:rPr>
            </w:pPr>
          </w:p>
        </w:tc>
        <w:tc>
          <w:tcPr>
            <w:tcW w:w="88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80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22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440" w:type="dxa"/>
            <w:vAlign w:val="bottom"/>
            <w:tcBorders>
              <w:bottom w:val="single" w:sz="8" w:color="EAEAEA"/>
            </w:tcBorders>
          </w:tcPr>
          <w:p>
            <w:pPr>
              <w:spacing w:after="0" w:line="20" w:lineRule="exact"/>
              <w:rPr>
                <w:sz w:val="1"/>
                <w:szCs w:val="1"/>
                <w:color w:val="auto"/>
              </w:rPr>
            </w:pPr>
          </w:p>
        </w:tc>
        <w:tc>
          <w:tcPr>
            <w:tcW w:w="460" w:type="dxa"/>
            <w:vAlign w:val="bottom"/>
            <w:tcBorders>
              <w:bottom w:val="single" w:sz="8" w:color="EAEAEA"/>
            </w:tcBorders>
          </w:tcPr>
          <w:p>
            <w:pPr>
              <w:spacing w:after="0" w:line="20" w:lineRule="exact"/>
              <w:rPr>
                <w:sz w:val="1"/>
                <w:szCs w:val="1"/>
                <w:color w:val="auto"/>
              </w:rPr>
            </w:pPr>
          </w:p>
        </w:tc>
        <w:tc>
          <w:tcPr>
            <w:tcW w:w="220" w:type="dxa"/>
            <w:vAlign w:val="bottom"/>
            <w:tcBorders>
              <w:bottom w:val="single" w:sz="8" w:color="EAEAEA"/>
            </w:tcBorders>
          </w:tcPr>
          <w:p>
            <w:pPr>
              <w:spacing w:after="0" w:line="20" w:lineRule="exact"/>
              <w:rPr>
                <w:sz w:val="1"/>
                <w:szCs w:val="1"/>
                <w:color w:val="auto"/>
              </w:rPr>
            </w:pPr>
          </w:p>
        </w:tc>
        <w:tc>
          <w:tcPr>
            <w:tcW w:w="540" w:type="dxa"/>
            <w:vAlign w:val="bottom"/>
            <w:tcBorders>
              <w:bottom w:val="single" w:sz="8" w:color="EAEAEA"/>
            </w:tcBorders>
          </w:tcPr>
          <w:p>
            <w:pPr>
              <w:spacing w:after="0" w:line="20" w:lineRule="exact"/>
              <w:rPr>
                <w:sz w:val="1"/>
                <w:szCs w:val="1"/>
                <w:color w:val="auto"/>
              </w:rPr>
            </w:pPr>
          </w:p>
        </w:tc>
        <w:tc>
          <w:tcPr>
            <w:tcW w:w="46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EAEAEA"/>
            </w:tcBorders>
          </w:tcPr>
          <w:p>
            <w:pPr>
              <w:spacing w:after="0" w:line="20" w:lineRule="exact"/>
              <w:rPr>
                <w:sz w:val="1"/>
                <w:szCs w:val="1"/>
                <w:color w:val="auto"/>
              </w:rPr>
            </w:pPr>
          </w:p>
        </w:tc>
        <w:tc>
          <w:tcPr>
            <w:tcW w:w="460" w:type="dxa"/>
            <w:vAlign w:val="bottom"/>
            <w:tcBorders>
              <w:bottom w:val="single" w:sz="8" w:color="EAEAEA"/>
            </w:tcBorders>
          </w:tcPr>
          <w:p>
            <w:pPr>
              <w:spacing w:after="0" w:line="20" w:lineRule="exact"/>
              <w:rPr>
                <w:sz w:val="1"/>
                <w:szCs w:val="1"/>
                <w:color w:val="auto"/>
              </w:rPr>
            </w:pPr>
          </w:p>
        </w:tc>
        <w:tc>
          <w:tcPr>
            <w:tcW w:w="220" w:type="dxa"/>
            <w:vAlign w:val="bottom"/>
            <w:tcBorders>
              <w:bottom w:val="single" w:sz="8" w:color="EAEAEA"/>
            </w:tcBorders>
          </w:tcPr>
          <w:p>
            <w:pPr>
              <w:spacing w:after="0" w:line="20" w:lineRule="exact"/>
              <w:rPr>
                <w:sz w:val="1"/>
                <w:szCs w:val="1"/>
                <w:color w:val="auto"/>
              </w:rPr>
            </w:pPr>
          </w:p>
        </w:tc>
        <w:tc>
          <w:tcPr>
            <w:tcW w:w="540" w:type="dxa"/>
            <w:vAlign w:val="bottom"/>
            <w:tcBorders>
              <w:bottom w:val="single" w:sz="8" w:color="EAEAEA"/>
            </w:tcBorders>
          </w:tcPr>
          <w:p>
            <w:pPr>
              <w:spacing w:after="0" w:line="20" w:lineRule="exact"/>
              <w:rPr>
                <w:sz w:val="1"/>
                <w:szCs w:val="1"/>
                <w:color w:val="auto"/>
              </w:rPr>
            </w:pPr>
          </w:p>
        </w:tc>
        <w:tc>
          <w:tcPr>
            <w:tcW w:w="4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280" w:type="dxa"/>
            <w:vAlign w:val="bottom"/>
            <w:tcBorders>
              <w:bottom w:val="single" w:sz="8" w:color="EAEAEA"/>
            </w:tcBorders>
            <w:gridSpan w:val="2"/>
            <w:shd w:val="clear" w:color="auto" w:fill="EAEAEA"/>
          </w:tcPr>
          <w:p>
            <w:pPr>
              <w:ind w:left="20"/>
              <w:spacing w:after="0" w:line="188" w:lineRule="exact"/>
              <w:rPr>
                <w:sz w:val="20"/>
                <w:szCs w:val="20"/>
                <w:color w:val="auto"/>
              </w:rPr>
            </w:pPr>
            <w:r>
              <w:rPr>
                <w:rFonts w:ascii="Times New Roman" w:cs="Times New Roman" w:eastAsia="Times New Roman" w:hAnsi="Times New Roman"/>
                <w:sz w:val="20"/>
                <w:szCs w:val="20"/>
                <w:color w:val="auto"/>
                <w:w w:val="95"/>
                <w:shd w:val="clear" w:color="auto" w:fill="EAEAEA"/>
              </w:rPr>
              <w:t>$73.29 – $73.93</w:t>
            </w:r>
          </w:p>
        </w:tc>
        <w:tc>
          <w:tcPr>
            <w:tcW w:w="88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2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61,458</w:t>
            </w:r>
          </w:p>
        </w:tc>
        <w:tc>
          <w:tcPr>
            <w:tcW w:w="1040" w:type="dxa"/>
            <w:vAlign w:val="bottom"/>
            <w:tcBorders>
              <w:left w:val="single" w:sz="8" w:color="EAEAEA"/>
              <w:bottom w:val="single" w:sz="8" w:color="EAEAEA"/>
            </w:tcBorders>
            <w:gridSpan w:val="2"/>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1.0</w:t>
            </w:r>
          </w:p>
        </w:tc>
        <w:tc>
          <w:tcPr>
            <w:tcW w:w="2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4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spacing w:after="0" w:line="188" w:lineRule="exact"/>
              <w:rPr>
                <w:sz w:val="20"/>
                <w:szCs w:val="20"/>
                <w:color w:val="auto"/>
              </w:rPr>
            </w:pPr>
            <w:r>
              <w:rPr>
                <w:rFonts w:ascii="Times New Roman" w:cs="Times New Roman" w:eastAsia="Times New Roman" w:hAnsi="Times New Roman"/>
                <w:sz w:val="20"/>
                <w:szCs w:val="20"/>
                <w:color w:val="auto"/>
                <w:w w:val="97"/>
                <w:shd w:val="clear" w:color="auto" w:fill="EAEAEA"/>
              </w:rPr>
              <w:t>73.32</w:t>
            </w:r>
          </w:p>
        </w:tc>
        <w:tc>
          <w:tcPr>
            <w:tcW w:w="220" w:type="dxa"/>
            <w:vAlign w:val="bottom"/>
            <w:tcBorders>
              <w:bottom w:val="single" w:sz="8" w:color="EAEAEA"/>
            </w:tcBorders>
            <w:shd w:val="clear" w:color="auto" w:fill="EAEAEA"/>
          </w:tcPr>
          <w:p>
            <w:pPr>
              <w:spacing w:after="0"/>
              <w:rPr>
                <w:sz w:val="19"/>
                <w:szCs w:val="19"/>
                <w:color w:val="auto"/>
              </w:rPr>
            </w:pPr>
          </w:p>
        </w:tc>
        <w:tc>
          <w:tcPr>
            <w:tcW w:w="540" w:type="dxa"/>
            <w:vAlign w:val="bottom"/>
            <w:tcBorders>
              <w:bottom w:val="single" w:sz="8" w:color="EAEAEA"/>
            </w:tcBorders>
            <w:shd w:val="clear" w:color="auto" w:fill="EAEAEA"/>
          </w:tcPr>
          <w:p>
            <w:pPr>
              <w:jc w:val="right"/>
              <w:ind w:right="340"/>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93"/>
                <w:shd w:val="clear" w:color="auto" w:fill="EAEAEA"/>
              </w:rPr>
              <w:t>2,266</w:t>
            </w:r>
          </w:p>
        </w:tc>
        <w:tc>
          <w:tcPr>
            <w:tcW w:w="240" w:type="dxa"/>
            <w:vAlign w:val="bottom"/>
            <w:tcBorders>
              <w:bottom w:val="single" w:sz="8" w:color="EAEAEA"/>
            </w:tcBorders>
            <w:shd w:val="clear" w:color="auto" w:fill="EAEAEA"/>
          </w:tcPr>
          <w:p>
            <w:pPr>
              <w:spacing w:after="0"/>
              <w:rPr>
                <w:sz w:val="19"/>
                <w:szCs w:val="19"/>
                <w:color w:val="auto"/>
              </w:rPr>
            </w:pPr>
          </w:p>
        </w:tc>
        <w:tc>
          <w:tcPr>
            <w:tcW w:w="100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61,458</w:t>
            </w:r>
          </w:p>
        </w:tc>
        <w:tc>
          <w:tcPr>
            <w:tcW w:w="240" w:type="dxa"/>
            <w:vAlign w:val="bottom"/>
            <w:tcBorders>
              <w:left w:val="single" w:sz="8" w:color="EAEAEA"/>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jc w:val="right"/>
              <w:ind w:right="120"/>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4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right w:val="single" w:sz="8" w:color="EAEAEA"/>
            </w:tcBorders>
            <w:shd w:val="clear" w:color="auto" w:fill="EAEAEA"/>
          </w:tcPr>
          <w:p>
            <w:pPr>
              <w:jc w:val="center"/>
              <w:spacing w:after="0" w:line="188" w:lineRule="exact"/>
              <w:rPr>
                <w:sz w:val="20"/>
                <w:szCs w:val="20"/>
                <w:color w:val="auto"/>
              </w:rPr>
            </w:pPr>
            <w:r>
              <w:rPr>
                <w:rFonts w:ascii="Times New Roman" w:cs="Times New Roman" w:eastAsia="Times New Roman" w:hAnsi="Times New Roman"/>
                <w:sz w:val="20"/>
                <w:szCs w:val="20"/>
                <w:color w:val="auto"/>
                <w:w w:val="93"/>
                <w:shd w:val="clear" w:color="auto" w:fill="EAEAEA"/>
              </w:rPr>
              <w:t>73.32</w:t>
            </w:r>
          </w:p>
        </w:tc>
        <w:tc>
          <w:tcPr>
            <w:tcW w:w="220" w:type="dxa"/>
            <w:vAlign w:val="bottom"/>
            <w:tcBorders>
              <w:bottom w:val="single" w:sz="8" w:color="EAEAEA"/>
            </w:tcBorders>
            <w:shd w:val="clear" w:color="auto" w:fill="EAEAEA"/>
          </w:tcPr>
          <w:p>
            <w:pPr>
              <w:spacing w:after="0"/>
              <w:rPr>
                <w:sz w:val="19"/>
                <w:szCs w:val="19"/>
                <w:color w:val="auto"/>
              </w:rPr>
            </w:pPr>
          </w:p>
        </w:tc>
        <w:tc>
          <w:tcPr>
            <w:tcW w:w="540" w:type="dxa"/>
            <w:vAlign w:val="bottom"/>
            <w:tcBorders>
              <w:bottom w:val="single" w:sz="8" w:color="EAEAEA"/>
            </w:tcBorders>
            <w:shd w:val="clear" w:color="auto" w:fill="EAEAEA"/>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93"/>
                <w:shd w:val="clear" w:color="auto" w:fill="EAEAEA"/>
              </w:rPr>
              <w:t>2,266</w:t>
            </w: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summary of RSU activity under the employee plan described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17"/>
                <w:szCs w:val="17"/>
                <w:color w:val="auto"/>
              </w:rPr>
            </w:pPr>
          </w:p>
        </w:tc>
        <w:tc>
          <w:tcPr>
            <w:tcW w:w="18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Unvested RSUs</w:t>
            </w:r>
          </w:p>
        </w:tc>
        <w:tc>
          <w:tcPr>
            <w:tcW w:w="1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80" w:type="dxa"/>
            <w:vAlign w:val="bottom"/>
            <w:tcBorders>
              <w:top w:val="single" w:sz="8" w:color="EAEAEA"/>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Nonvested balance at December 31, 2024</w:t>
            </w:r>
          </w:p>
        </w:tc>
        <w:tc>
          <w:tcPr>
            <w:tcW w:w="1540" w:type="dxa"/>
            <w:vAlign w:val="bottom"/>
            <w:tcBorders>
              <w:top w:val="single" w:sz="8" w:color="auto"/>
              <w:bottom w:val="single" w:sz="8" w:color="EAEAEA"/>
            </w:tcBorders>
            <w:gridSpan w:val="2"/>
            <w:shd w:val="clear" w:color="auto" w:fill="EAEAEA"/>
          </w:tcPr>
          <w:p>
            <w:pPr>
              <w:jc w:val="center"/>
              <w:ind w:left="784"/>
              <w:spacing w:after="0" w:line="184" w:lineRule="exact"/>
              <w:rPr>
                <w:sz w:val="20"/>
                <w:szCs w:val="20"/>
                <w:color w:val="auto"/>
              </w:rPr>
            </w:pPr>
            <w:r>
              <w:rPr>
                <w:rFonts w:ascii="Times New Roman" w:cs="Times New Roman" w:eastAsia="Times New Roman" w:hAnsi="Times New Roman"/>
                <w:sz w:val="20"/>
                <w:szCs w:val="20"/>
                <w:color w:val="auto"/>
                <w:w w:val="95"/>
                <w:shd w:val="clear" w:color="auto" w:fill="EAEAEA"/>
              </w:rPr>
              <w:t>515,379</w:t>
            </w:r>
          </w:p>
        </w:tc>
        <w:tc>
          <w:tcPr>
            <w:tcW w:w="20" w:type="dxa"/>
            <w:vAlign w:val="bottom"/>
            <w:tcBorders>
              <w:top w:val="single" w:sz="8" w:color="auto"/>
              <w:bottom w:val="single" w:sz="8" w:color="EAEAEA"/>
            </w:tcBorders>
            <w:shd w:val="clear" w:color="auto" w:fill="EAEAEA"/>
          </w:tcPr>
          <w:p>
            <w:pPr>
              <w:spacing w:after="0"/>
              <w:rPr>
                <w:sz w:val="17"/>
                <w:szCs w:val="17"/>
                <w:color w:val="auto"/>
              </w:rPr>
            </w:pPr>
          </w:p>
        </w:tc>
        <w:tc>
          <w:tcPr>
            <w:tcW w:w="40" w:type="dxa"/>
            <w:vAlign w:val="bottom"/>
            <w:tcBorders>
              <w:top w:val="single" w:sz="8" w:color="EAEAEA"/>
              <w:bottom w:val="single" w:sz="8" w:color="EAEAEA"/>
            </w:tcBorders>
            <w:shd w:val="clear" w:color="auto" w:fill="EAEAEA"/>
          </w:tcPr>
          <w:p>
            <w:pPr>
              <w:spacing w:after="0"/>
              <w:rPr>
                <w:sz w:val="17"/>
                <w:szCs w:val="17"/>
                <w:color w:val="auto"/>
              </w:rPr>
            </w:pPr>
          </w:p>
        </w:tc>
        <w:tc>
          <w:tcPr>
            <w:tcW w:w="220" w:type="dxa"/>
            <w:vAlign w:val="bottom"/>
            <w:tcBorders>
              <w:top w:val="single" w:sz="8" w:color="EAEAEA"/>
              <w:bottom w:val="single" w:sz="8" w:color="EAEAEA"/>
            </w:tcBorders>
            <w:shd w:val="clear" w:color="auto" w:fill="EAEAEA"/>
          </w:tcPr>
          <w:p>
            <w:pPr>
              <w:spacing w:after="0"/>
              <w:rPr>
                <w:sz w:val="17"/>
                <w:szCs w:val="17"/>
                <w:color w:val="auto"/>
              </w:rPr>
            </w:pPr>
          </w:p>
        </w:tc>
        <w:tc>
          <w:tcPr>
            <w:tcW w:w="100" w:type="dxa"/>
            <w:vAlign w:val="bottom"/>
            <w:tcBorders>
              <w:top w:val="single" w:sz="8" w:color="auto"/>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20" w:type="dxa"/>
            <w:vAlign w:val="bottom"/>
            <w:tcBorders>
              <w:top w:val="single" w:sz="8" w:color="auto"/>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71.43</w:t>
            </w:r>
          </w:p>
        </w:tc>
        <w:tc>
          <w:tcPr>
            <w:tcW w:w="80" w:type="dxa"/>
            <w:vAlign w:val="bottom"/>
            <w:tcBorders>
              <w:top w:val="single" w:sz="8" w:color="EAEAEA"/>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540" w:type="dxa"/>
            <w:vAlign w:val="bottom"/>
            <w:gridSpan w:val="2"/>
          </w:tcPr>
          <w:p>
            <w:pPr>
              <w:jc w:val="center"/>
              <w:ind w:left="784"/>
              <w:spacing w:after="0"/>
              <w:rPr>
                <w:sz w:val="20"/>
                <w:szCs w:val="20"/>
                <w:color w:val="auto"/>
              </w:rPr>
            </w:pPr>
            <w:r>
              <w:rPr>
                <w:rFonts w:ascii="Times New Roman" w:cs="Times New Roman" w:eastAsia="Times New Roman" w:hAnsi="Times New Roman"/>
                <w:sz w:val="20"/>
                <w:szCs w:val="20"/>
                <w:color w:val="auto"/>
              </w:rPr>
              <w:t>131,240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tcBorders>
              <w:bottom w:val="single" w:sz="8" w:color="EAEAEA"/>
            </w:tcBorders>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Vested</w:t>
            </w:r>
          </w:p>
        </w:tc>
        <w:tc>
          <w:tcPr>
            <w:tcW w:w="154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(166,290</w:t>
            </w: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2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68.14</w:t>
            </w:r>
          </w:p>
        </w:tc>
        <w:tc>
          <w:tcPr>
            <w:tcW w:w="8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3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940" w:type="dxa"/>
            <w:vAlign w:val="bottom"/>
            <w:vMerge w:val="restart"/>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85.03</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380" w:type="dxa"/>
            <w:vAlign w:val="bottom"/>
            <w:tcBorders>
              <w:bottom w:val="single" w:sz="8" w:color="EAEAEA"/>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3"/>
              </w:rPr>
              <w:t>(19,906</w:t>
            </w:r>
          </w:p>
        </w:tc>
        <w:tc>
          <w:tcPr>
            <w:tcW w:w="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20" w:type="dxa"/>
            <w:vAlign w:val="bottom"/>
            <w:tcBorders>
              <w:bottom w:val="single" w:sz="8" w:color="EAEAEA"/>
            </w:tcBorders>
          </w:tcPr>
          <w:p>
            <w:pPr>
              <w:spacing w:after="0"/>
              <w:rPr>
                <w:sz w:val="15"/>
                <w:szCs w:val="15"/>
                <w:color w:val="auto"/>
              </w:rPr>
            </w:pPr>
          </w:p>
        </w:tc>
        <w:tc>
          <w:tcPr>
            <w:tcW w:w="100" w:type="dxa"/>
            <w:vAlign w:val="bottom"/>
            <w:tcBorders>
              <w:bottom w:val="single" w:sz="8" w:color="EAEAEA"/>
            </w:tcBorders>
            <w:vMerge w:val="continue"/>
          </w:tcPr>
          <w:p>
            <w:pPr>
              <w:spacing w:after="0"/>
              <w:rPr>
                <w:sz w:val="15"/>
                <w:szCs w:val="15"/>
                <w:color w:val="auto"/>
              </w:rPr>
            </w:pPr>
          </w:p>
        </w:tc>
        <w:tc>
          <w:tcPr>
            <w:tcW w:w="1420" w:type="dxa"/>
            <w:vAlign w:val="bottom"/>
            <w:tcBorders>
              <w:bottom w:val="single" w:sz="8" w:color="EAEAEA"/>
            </w:tcBorders>
            <w:gridSpan w:val="2"/>
            <w:vMerge w:val="continue"/>
          </w:tcPr>
          <w:p>
            <w:pPr>
              <w:spacing w:after="0"/>
              <w:rPr>
                <w:sz w:val="15"/>
                <w:szCs w:val="15"/>
                <w:color w:val="auto"/>
              </w:rPr>
            </w:pPr>
          </w:p>
        </w:tc>
        <w:tc>
          <w:tcPr>
            <w:tcW w:w="8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Nonvested balance at December 31, 2025</w:t>
            </w:r>
          </w:p>
        </w:tc>
        <w:tc>
          <w:tcPr>
            <w:tcW w:w="1540" w:type="dxa"/>
            <w:vAlign w:val="bottom"/>
            <w:tcBorders>
              <w:bottom w:val="single" w:sz="8" w:color="EAEAEA"/>
            </w:tcBorders>
            <w:gridSpan w:val="2"/>
            <w:shd w:val="clear" w:color="auto" w:fill="EAEAEA"/>
          </w:tcPr>
          <w:p>
            <w:pPr>
              <w:jc w:val="center"/>
              <w:ind w:left="784"/>
              <w:spacing w:after="0" w:line="184" w:lineRule="exact"/>
              <w:rPr>
                <w:sz w:val="20"/>
                <w:szCs w:val="20"/>
                <w:color w:val="auto"/>
              </w:rPr>
            </w:pPr>
            <w:r>
              <w:rPr>
                <w:rFonts w:ascii="Times New Roman" w:cs="Times New Roman" w:eastAsia="Times New Roman" w:hAnsi="Times New Roman"/>
                <w:sz w:val="20"/>
                <w:szCs w:val="20"/>
                <w:color w:val="auto"/>
                <w:w w:val="95"/>
                <w:shd w:val="clear" w:color="auto" w:fill="EAEAEA"/>
              </w:rPr>
              <w:t>460,423</w:t>
            </w: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980" w:type="dxa"/>
            <w:vAlign w:val="bottom"/>
            <w:tcBorders>
              <w:bottom w:val="single" w:sz="8" w:color="EAEAEA"/>
            </w:tcBorders>
            <w:shd w:val="clear" w:color="auto" w:fill="EAEAEA"/>
          </w:tcPr>
          <w:p>
            <w:pPr>
              <w:spacing w:after="0"/>
              <w:rPr>
                <w:sz w:val="19"/>
                <w:szCs w:val="19"/>
                <w:color w:val="auto"/>
              </w:rPr>
            </w:pPr>
          </w:p>
        </w:tc>
        <w:tc>
          <w:tcPr>
            <w:tcW w:w="44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93"/>
                <w:shd w:val="clear" w:color="auto" w:fill="EAEAEA"/>
              </w:rPr>
              <w:t>82.77</w:t>
            </w:r>
          </w:p>
        </w:tc>
        <w:tc>
          <w:tcPr>
            <w:tcW w:w="8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20" w:firstLine="349"/>
        <w:spacing w:after="0" w:line="278" w:lineRule="auto"/>
        <w:rPr>
          <w:sz w:val="20"/>
          <w:szCs w:val="20"/>
          <w:color w:val="auto"/>
        </w:rPr>
      </w:pPr>
      <w:r>
        <w:rPr>
          <w:rFonts w:ascii="Times New Roman" w:cs="Times New Roman" w:eastAsia="Times New Roman" w:hAnsi="Times New Roman"/>
          <w:sz w:val="20"/>
          <w:szCs w:val="20"/>
          <w:color w:val="auto"/>
        </w:rPr>
        <w:t>The weighted average grant date fair value of RSUs granted for the years ended December 31, 2025, 2024, and 2023 was $109.09, $84.12, and $72.23, respectively.</w:t>
      </w:r>
    </w:p>
    <w:p>
      <w:pPr>
        <w:spacing w:after="0" w:line="15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During January 2026, the Company granted 125,425 RSUs to selected officers and other key employees under its employee stock award plan, which all vest ratably over five years.</w:t>
      </w:r>
    </w:p>
    <w:p>
      <w:pPr>
        <w:spacing w:after="0" w:line="15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There were no unvested restricted stock awards under the employee plan at December 31, 2025 and 2024 and no restricted stock awards were granted under the employee plan during 2025, 2024, and 2023.</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a stock award plan for nonemployee directors of the Company which provides for the issuance of stock options</w:t>
      </w:r>
    </w:p>
    <w:p>
      <w:pPr>
        <w:spacing w:after="0" w:line="29"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w:t>
      </w:r>
    </w:p>
    <w:p>
      <w:pPr>
        <w:spacing w:after="0" w:line="20" w:lineRule="exact"/>
        <w:rPr>
          <w:sz w:val="20"/>
          <w:szCs w:val="20"/>
          <w:color w:val="auto"/>
        </w:rPr>
      </w:pPr>
    </w:p>
    <w:p>
      <w:pPr>
        <w:jc w:val="both"/>
        <w:ind w:firstLine="10"/>
        <w:spacing w:after="0" w:line="242" w:lineRule="auto"/>
        <w:rPr>
          <w:sz w:val="20"/>
          <w:szCs w:val="20"/>
          <w:color w:val="auto"/>
        </w:rPr>
      </w:pPr>
      <w:r>
        <w:rPr>
          <w:rFonts w:ascii="Times New Roman" w:cs="Times New Roman" w:eastAsia="Times New Roman" w:hAnsi="Times New Roman"/>
          <w:sz w:val="20"/>
          <w:szCs w:val="20"/>
          <w:color w:val="auto"/>
        </w:rPr>
        <w:t>stock issued after each annual meeting of stockholders vests six months after the date of grant. Options granted and restricted stock issued in lieu of cash director fees vest in equal quarterly increments during the year to which they relate. At December 31, 2025, 339,352 shares were available for future grants under the director plan. The director stock award plan is intended as an incentive to attract and retain qualified independent directors.</w:t>
      </w:r>
    </w:p>
    <w:p>
      <w:pPr>
        <w:sectPr>
          <w:pgSz w:w="12240" w:h="15840" w:orient="portrait"/>
          <w:cols w:equalWidth="0" w:num="1">
            <w:col w:w="10800"/>
          </w:cols>
          <w:pgMar w:left="720" w:top="929" w:right="720" w:bottom="176"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929" w:right="720" w:bottom="176" w:gutter="0" w:footer="0" w:header="0"/>
          <w:type w:val="continuous"/>
        </w:sectPr>
      </w:pPr>
    </w:p>
    <w:bookmarkStart w:id="79" w:name="page80"/>
    <w:bookmarkEnd w:id="79"/>
    <w:p>
      <w:pPr>
        <w:ind w:left="360"/>
        <w:spacing w:after="0"/>
        <w:rPr>
          <w:sz w:val="20"/>
          <w:szCs w:val="20"/>
          <w:color w:val="auto"/>
        </w:rPr>
      </w:pPr>
      <w:r>
        <w:rPr>
          <w:rFonts w:ascii="Times New Roman" w:cs="Times New Roman" w:eastAsia="Times New Roman" w:hAnsi="Times New Roman"/>
          <w:sz w:val="20"/>
          <w:szCs w:val="20"/>
          <w:color w:val="auto"/>
        </w:rPr>
        <w:t>The following is a summary of the stock option activity under the director plan described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78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Non-Qualified or</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r>
      <w:tr>
        <w:trPr>
          <w:trHeight w:val="184"/>
        </w:trPr>
        <w:tc>
          <w:tcPr>
            <w:tcW w:w="78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Nonincentive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r>
      <w:tr>
        <w:trPr>
          <w:trHeight w:val="184"/>
        </w:trPr>
        <w:tc>
          <w:tcPr>
            <w:tcW w:w="78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Stock Option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6"/>
                <w:szCs w:val="16"/>
                <w:color w:val="auto"/>
              </w:rPr>
            </w:pPr>
          </w:p>
        </w:tc>
      </w:tr>
      <w:tr>
        <w:trPr>
          <w:trHeight w:val="203"/>
        </w:trPr>
        <w:tc>
          <w:tcPr>
            <w:tcW w:w="7800" w:type="dxa"/>
            <w:vAlign w:val="bottom"/>
            <w:tcBorders>
              <w:bottom w:val="single" w:sz="8" w:color="EAEAEA"/>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260" w:type="dxa"/>
            <w:vAlign w:val="bottom"/>
            <w:tcBorders>
              <w:bottom w:val="single" w:sz="8" w:color="EAEAEA"/>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60" w:type="dxa"/>
            <w:vAlign w:val="bottom"/>
            <w:tcBorders>
              <w:bottom w:val="single" w:sz="8" w:color="EAEAEA"/>
            </w:tcBorders>
          </w:tcPr>
          <w:p>
            <w:pPr>
              <w:spacing w:after="0"/>
              <w:rPr>
                <w:sz w:val="17"/>
                <w:szCs w:val="17"/>
                <w:color w:val="auto"/>
              </w:rPr>
            </w:pPr>
          </w:p>
        </w:tc>
      </w:tr>
      <w:tr>
        <w:trPr>
          <w:trHeight w:val="205"/>
        </w:trPr>
        <w:tc>
          <w:tcPr>
            <w:tcW w:w="780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Outstanding at December 31, 2024</w:t>
            </w:r>
          </w:p>
        </w:tc>
        <w:tc>
          <w:tcPr>
            <w:tcW w:w="136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8,480</w:t>
            </w:r>
          </w:p>
        </w:tc>
        <w:tc>
          <w:tcPr>
            <w:tcW w:w="26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jc w:val="right"/>
              <w:ind w:right="35"/>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1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79.67</w:t>
            </w:r>
          </w:p>
        </w:tc>
        <w:tc>
          <w:tcPr>
            <w:tcW w:w="60" w:type="dxa"/>
            <w:vAlign w:val="bottom"/>
            <w:tcBorders>
              <w:bottom w:val="single" w:sz="8" w:color="EAEAEA"/>
            </w:tcBorders>
            <w:shd w:val="clear" w:color="auto" w:fill="EAEAEA"/>
          </w:tcPr>
          <w:p>
            <w:pPr>
              <w:spacing w:after="0"/>
              <w:rPr>
                <w:sz w:val="17"/>
                <w:szCs w:val="17"/>
                <w:color w:val="auto"/>
              </w:rPr>
            </w:pPr>
          </w:p>
        </w:tc>
      </w:tr>
      <w:tr>
        <w:trPr>
          <w:trHeight w:val="230"/>
        </w:trPr>
        <w:tc>
          <w:tcPr>
            <w:tcW w:w="7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7800" w:type="dxa"/>
            <w:vAlign w:val="bottom"/>
            <w:tcBorders>
              <w:bottom w:val="single" w:sz="8" w:color="EAEAEA"/>
            </w:tcBorders>
            <w:shd w:val="clear" w:color="auto" w:fill="EAEAEA"/>
          </w:tcPr>
          <w:p>
            <w:pPr>
              <w:ind w:left="200"/>
              <w:spacing w:after="0" w:line="202" w:lineRule="exact"/>
              <w:rPr>
                <w:sz w:val="20"/>
                <w:szCs w:val="20"/>
                <w:color w:val="auto"/>
              </w:rPr>
            </w:pPr>
            <w:r>
              <w:rPr>
                <w:rFonts w:ascii="Times New Roman" w:cs="Times New Roman" w:eastAsia="Times New Roman" w:hAnsi="Times New Roman"/>
                <w:sz w:val="20"/>
                <w:szCs w:val="20"/>
                <w:color w:val="auto"/>
                <w:shd w:val="clear" w:color="auto" w:fill="EAEAEA"/>
              </w:rPr>
              <w:t>Expired</w:t>
            </w:r>
          </w:p>
        </w:tc>
        <w:tc>
          <w:tcPr>
            <w:tcW w:w="1360" w:type="dxa"/>
            <w:vAlign w:val="bottom"/>
            <w:tcBorders>
              <w:bottom w:val="single" w:sz="8" w:color="EAEAEA"/>
            </w:tcBorders>
            <w:shd w:val="clear" w:color="auto" w:fill="EAEAEA"/>
          </w:tcPr>
          <w:p>
            <w:pPr>
              <w:spacing w:after="0"/>
              <w:rPr>
                <w:sz w:val="20"/>
                <w:szCs w:val="20"/>
                <w:color w:val="auto"/>
              </w:rPr>
            </w:pPr>
          </w:p>
        </w:tc>
        <w:tc>
          <w:tcPr>
            <w:tcW w:w="26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jc w:val="right"/>
              <w:ind w:right="3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12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r>
      <w:tr>
        <w:trPr>
          <w:trHeight w:val="225"/>
        </w:trPr>
        <w:tc>
          <w:tcPr>
            <w:tcW w:w="7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Outstanding at December 31, 2025</w:t>
            </w:r>
          </w:p>
        </w:tc>
        <w:tc>
          <w:tcPr>
            <w:tcW w:w="13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8,480</w:t>
            </w:r>
          </w:p>
        </w:tc>
        <w:tc>
          <w:tcPr>
            <w:tcW w:w="460" w:type="dxa"/>
            <w:vAlign w:val="bottom"/>
            <w:gridSpan w:val="2"/>
          </w:tcPr>
          <w:p>
            <w:pPr>
              <w:jc w:val="right"/>
              <w:ind w:right="3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79.67</w:t>
            </w:r>
          </w:p>
        </w:tc>
        <w:tc>
          <w:tcPr>
            <w:tcW w:w="6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5963920</wp:posOffset>
            </wp:positionH>
            <wp:positionV relativeFrom="paragraph">
              <wp:posOffset>-634365</wp:posOffset>
            </wp:positionV>
            <wp:extent cx="86550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6">
                      <a:extLst>
                        <a:ext uri="{28A0092B-C50C-407E-A947-70E740481C1C}"/>
                      </a:extLst>
                    </a:blip>
                    <a:srcRect/>
                    <a:stretch>
                      <a:fillRect/>
                    </a:stretch>
                  </pic:blipFill>
                  <pic:spPr bwMode="auto">
                    <a:xfrm>
                      <a:off x="0" y="0"/>
                      <a:ext cx="865505" cy="25400"/>
                    </a:xfrm>
                    <a:prstGeom prst="rect">
                      <a:avLst/>
                    </a:prstGeom>
                    <a:noFill/>
                  </pic:spPr>
                </pic:pic>
              </a:graphicData>
            </a:graphic>
          </wp:anchor>
        </w:drawing>
      </w:r>
    </w:p>
    <w:p>
      <w:pPr>
        <w:spacing w:after="0" w:line="19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information about the Company’s outstanding and exercisable stock options under the director plan at December 31,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W</w:t>
            </w:r>
          </w:p>
        </w:tc>
        <w:tc>
          <w:tcPr>
            <w:tcW w:w="1420" w:type="dxa"/>
            <w:vAlign w:val="bottom"/>
            <w:gridSpan w:val="6"/>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7"/>
              </w:rPr>
              <w:t>Options Outstanding</w:t>
            </w: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380" w:type="dxa"/>
            <w:vAlign w:val="bottom"/>
            <w:gridSpan w:val="6"/>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rPr>
              <w:t>Options Exercisable</w:t>
            </w: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2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eighted</w:t>
            </w: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Range of Exercise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Life 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6"/>
                <w:szCs w:val="16"/>
                <w:color w:val="auto"/>
              </w:rPr>
            </w:pPr>
          </w:p>
        </w:tc>
        <w:tc>
          <w:tcPr>
            <w:tcW w:w="106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40" w:type="dxa"/>
            <w:vAlign w:val="bottom"/>
            <w:vMerge w:val="restart"/>
          </w:tcPr>
          <w:p>
            <w:pPr>
              <w:spacing w:after="0"/>
              <w:rPr>
                <w:sz w:val="5"/>
                <w:szCs w:val="5"/>
                <w:color w:val="auto"/>
              </w:rPr>
            </w:pPr>
          </w:p>
        </w:tc>
        <w:tc>
          <w:tcPr>
            <w:tcW w:w="1520" w:type="dxa"/>
            <w:vAlign w:val="bottom"/>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12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960" w:type="dxa"/>
            <w:vAlign w:val="bottom"/>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 w:type="dxa"/>
            <w:vAlign w:val="bottom"/>
            <w:vMerge w:val="restart"/>
          </w:tcPr>
          <w:p>
            <w:pPr>
              <w:spacing w:after="0"/>
              <w:rPr>
                <w:sz w:val="5"/>
                <w:szCs w:val="5"/>
                <w:color w:val="auto"/>
              </w:rPr>
            </w:pPr>
          </w:p>
        </w:tc>
        <w:tc>
          <w:tcPr>
            <w:tcW w:w="960" w:type="dxa"/>
            <w:vAlign w:val="bottom"/>
            <w:gridSpan w:val="2"/>
          </w:tcPr>
          <w:p>
            <w:pPr>
              <w:spacing w:after="0"/>
              <w:rPr>
                <w:sz w:val="5"/>
                <w:szCs w:val="5"/>
                <w:color w:val="auto"/>
              </w:rPr>
            </w:pPr>
          </w:p>
        </w:tc>
        <w:tc>
          <w:tcPr>
            <w:tcW w:w="4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highlight w:val="white"/>
              </w:rPr>
              <w:t>Outstanding</w:t>
            </w: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highlight w:val="white"/>
                <w:w w:val="98"/>
              </w:rPr>
              <w:t>(in thousands)</w:t>
            </w:r>
          </w:p>
        </w:tc>
        <w:tc>
          <w:tcPr>
            <w:tcW w:w="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highlight w:val="white"/>
                <w:w w:val="98"/>
              </w:rPr>
              <w:t>(in thousands)</w:t>
            </w:r>
          </w:p>
        </w:tc>
        <w:tc>
          <w:tcPr>
            <w:tcW w:w="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40" w:type="dxa"/>
            <w:vAlign w:val="bottom"/>
            <w:tcBorders>
              <w:top w:val="single" w:sz="8" w:color="auto"/>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20"/>
                <w:szCs w:val="20"/>
                <w:color w:val="auto"/>
                <w:w w:val="94"/>
                <w:shd w:val="clear" w:color="auto" w:fill="EAEAEA"/>
              </w:rPr>
              <w:t>$70.65</w:t>
            </w:r>
          </w:p>
        </w:tc>
        <w:tc>
          <w:tcPr>
            <w:tcW w:w="1520" w:type="dxa"/>
            <w:vAlign w:val="bottom"/>
            <w:tcBorders>
              <w:top w:val="single" w:sz="8" w:color="auto"/>
              <w:bottom w:val="single" w:sz="8" w:color="EAEAEA"/>
            </w:tcBorders>
            <w:shd w:val="clear" w:color="auto" w:fill="EAEAEA"/>
          </w:tcPr>
          <w:p>
            <w:pPr>
              <w:spacing w:after="0"/>
              <w:rPr>
                <w:sz w:val="17"/>
                <w:szCs w:val="17"/>
                <w:color w:val="auto"/>
              </w:rPr>
            </w:pPr>
          </w:p>
        </w:tc>
        <w:tc>
          <w:tcPr>
            <w:tcW w:w="120" w:type="dxa"/>
            <w:vAlign w:val="bottom"/>
            <w:tcBorders>
              <w:top w:val="single" w:sz="8" w:color="EAEAEA"/>
              <w:bottom w:val="single" w:sz="8" w:color="EAEAEA"/>
            </w:tcBorders>
            <w:shd w:val="clear" w:color="auto" w:fill="EAEAEA"/>
          </w:tcPr>
          <w:p>
            <w:pPr>
              <w:spacing w:after="0"/>
              <w:rPr>
                <w:sz w:val="17"/>
                <w:szCs w:val="17"/>
                <w:color w:val="auto"/>
              </w:rPr>
            </w:pPr>
          </w:p>
        </w:tc>
        <w:tc>
          <w:tcPr>
            <w:tcW w:w="100" w:type="dxa"/>
            <w:vAlign w:val="bottom"/>
            <w:tcBorders>
              <w:top w:val="single" w:sz="8" w:color="auto"/>
              <w:bottom w:val="single" w:sz="8" w:color="EAEAEA"/>
            </w:tcBorders>
            <w:shd w:val="clear" w:color="auto" w:fill="EAEAEA"/>
          </w:tcPr>
          <w:p>
            <w:pPr>
              <w:spacing w:after="0"/>
              <w:rPr>
                <w:sz w:val="17"/>
                <w:szCs w:val="17"/>
                <w:color w:val="auto"/>
              </w:rPr>
            </w:pPr>
          </w:p>
        </w:tc>
        <w:tc>
          <w:tcPr>
            <w:tcW w:w="960" w:type="dxa"/>
            <w:vAlign w:val="bottom"/>
            <w:tcBorders>
              <w:top w:val="single" w:sz="8" w:color="auto"/>
              <w:bottom w:val="single" w:sz="8" w:color="EAEAEA"/>
            </w:tcBorders>
            <w:gridSpan w:val="2"/>
            <w:shd w:val="clear" w:color="auto" w:fill="EAEAEA"/>
          </w:tcPr>
          <w:p>
            <w:pPr>
              <w:jc w:val="right"/>
              <w:ind w:right="20"/>
              <w:spacing w:after="0" w:line="185" w:lineRule="exact"/>
              <w:rPr>
                <w:sz w:val="20"/>
                <w:szCs w:val="20"/>
                <w:color w:val="auto"/>
              </w:rPr>
            </w:pPr>
            <w:r>
              <w:rPr>
                <w:rFonts w:ascii="Times New Roman" w:cs="Times New Roman" w:eastAsia="Times New Roman" w:hAnsi="Times New Roman"/>
                <w:sz w:val="20"/>
                <w:szCs w:val="20"/>
                <w:color w:val="auto"/>
                <w:shd w:val="clear" w:color="auto" w:fill="EAEAEA"/>
              </w:rPr>
              <w:t>3,188</w:t>
            </w:r>
          </w:p>
        </w:tc>
        <w:tc>
          <w:tcPr>
            <w:tcW w:w="100" w:type="dxa"/>
            <w:vAlign w:val="bottom"/>
            <w:tcBorders>
              <w:top w:val="single" w:sz="8" w:color="EAEAEA"/>
              <w:bottom w:val="single" w:sz="8" w:color="EAEAEA"/>
            </w:tcBorders>
            <w:shd w:val="clear" w:color="auto" w:fill="EAEAEA"/>
          </w:tcPr>
          <w:p>
            <w:pPr>
              <w:spacing w:after="0"/>
              <w:rPr>
                <w:sz w:val="17"/>
                <w:szCs w:val="17"/>
                <w:color w:val="auto"/>
              </w:rPr>
            </w:pPr>
          </w:p>
        </w:tc>
        <w:tc>
          <w:tcPr>
            <w:tcW w:w="120" w:type="dxa"/>
            <w:vAlign w:val="bottom"/>
            <w:tcBorders>
              <w:top w:val="single" w:sz="8" w:color="EAEAEA"/>
              <w:bottom w:val="single" w:sz="8" w:color="EAEAEA"/>
            </w:tcBorders>
            <w:shd w:val="clear" w:color="auto" w:fill="EAEAEA"/>
          </w:tcPr>
          <w:p>
            <w:pPr>
              <w:spacing w:after="0"/>
              <w:rPr>
                <w:sz w:val="17"/>
                <w:szCs w:val="17"/>
                <w:color w:val="auto"/>
              </w:rPr>
            </w:pPr>
          </w:p>
        </w:tc>
        <w:tc>
          <w:tcPr>
            <w:tcW w:w="420" w:type="dxa"/>
            <w:vAlign w:val="bottom"/>
            <w:tcBorders>
              <w:top w:val="single" w:sz="8" w:color="auto"/>
              <w:bottom w:val="single" w:sz="8" w:color="EAEAEA"/>
            </w:tcBorders>
            <w:shd w:val="clear" w:color="auto" w:fill="EAEAEA"/>
          </w:tcPr>
          <w:p>
            <w:pPr>
              <w:spacing w:after="0"/>
              <w:rPr>
                <w:sz w:val="17"/>
                <w:szCs w:val="17"/>
                <w:color w:val="auto"/>
              </w:rPr>
            </w:pPr>
          </w:p>
        </w:tc>
        <w:tc>
          <w:tcPr>
            <w:tcW w:w="620" w:type="dxa"/>
            <w:vAlign w:val="bottom"/>
            <w:tcBorders>
              <w:top w:val="single" w:sz="8" w:color="auto"/>
              <w:bottom w:val="single" w:sz="8" w:color="EAEAEA"/>
            </w:tcBorders>
            <w:shd w:val="clear" w:color="auto" w:fill="EAEAEA"/>
          </w:tcPr>
          <w:p>
            <w:pPr>
              <w:ind w:left="380"/>
              <w:spacing w:after="0" w:line="185" w:lineRule="exact"/>
              <w:rPr>
                <w:sz w:val="20"/>
                <w:szCs w:val="20"/>
                <w:color w:val="auto"/>
              </w:rPr>
            </w:pPr>
            <w:r>
              <w:rPr>
                <w:rFonts w:ascii="Times New Roman" w:cs="Times New Roman" w:eastAsia="Times New Roman" w:hAnsi="Times New Roman"/>
                <w:sz w:val="20"/>
                <w:szCs w:val="20"/>
                <w:color w:val="auto"/>
                <w:w w:val="87"/>
                <w:shd w:val="clear" w:color="auto" w:fill="EAEAEA"/>
              </w:rPr>
              <w:t>0.5</w:t>
            </w:r>
          </w:p>
        </w:tc>
        <w:tc>
          <w:tcPr>
            <w:tcW w:w="100" w:type="dxa"/>
            <w:vAlign w:val="bottom"/>
            <w:tcBorders>
              <w:top w:val="single" w:sz="8" w:color="EAEAEA"/>
              <w:bottom w:val="single" w:sz="8" w:color="EAEAEA"/>
            </w:tcBorders>
            <w:shd w:val="clear" w:color="auto" w:fill="EAEAEA"/>
          </w:tcPr>
          <w:p>
            <w:pPr>
              <w:spacing w:after="0"/>
              <w:rPr>
                <w:sz w:val="17"/>
                <w:szCs w:val="17"/>
                <w:color w:val="auto"/>
              </w:rPr>
            </w:pPr>
          </w:p>
        </w:tc>
        <w:tc>
          <w:tcPr>
            <w:tcW w:w="120" w:type="dxa"/>
            <w:vAlign w:val="bottom"/>
            <w:tcBorders>
              <w:top w:val="single" w:sz="8" w:color="EAEAEA"/>
              <w:bottom w:val="single" w:sz="8" w:color="EAEAEA"/>
            </w:tcBorders>
            <w:shd w:val="clear" w:color="auto" w:fill="EAEAEA"/>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40" w:type="dxa"/>
            <w:vAlign w:val="bottom"/>
            <w:tcBorders>
              <w:top w:val="single" w:sz="8" w:color="auto"/>
              <w:bottom w:val="single" w:sz="8" w:color="EAEAEA"/>
            </w:tcBorders>
            <w:shd w:val="clear" w:color="auto" w:fill="EAEAEA"/>
          </w:tcPr>
          <w:p>
            <w:pPr>
              <w:spacing w:after="0"/>
              <w:rPr>
                <w:sz w:val="17"/>
                <w:szCs w:val="17"/>
                <w:color w:val="auto"/>
              </w:rPr>
            </w:pPr>
          </w:p>
        </w:tc>
        <w:tc>
          <w:tcPr>
            <w:tcW w:w="440" w:type="dxa"/>
            <w:vAlign w:val="bottom"/>
            <w:tcBorders>
              <w:top w:val="single" w:sz="8" w:color="auto"/>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20"/>
                <w:szCs w:val="20"/>
                <w:color w:val="auto"/>
                <w:w w:val="93"/>
                <w:shd w:val="clear" w:color="auto" w:fill="EAEAEA"/>
              </w:rPr>
              <w:t>70.65</w:t>
            </w:r>
          </w:p>
        </w:tc>
        <w:tc>
          <w:tcPr>
            <w:tcW w:w="100" w:type="dxa"/>
            <w:vAlign w:val="bottom"/>
            <w:tcBorders>
              <w:top w:val="single" w:sz="8" w:color="EAEAEA"/>
              <w:bottom w:val="single" w:sz="8" w:color="EAEAEA"/>
            </w:tcBorders>
            <w:shd w:val="clear" w:color="auto" w:fill="EAEAEA"/>
          </w:tcPr>
          <w:p>
            <w:pPr>
              <w:spacing w:after="0"/>
              <w:rPr>
                <w:sz w:val="17"/>
                <w:szCs w:val="17"/>
                <w:color w:val="auto"/>
              </w:rPr>
            </w:pPr>
          </w:p>
        </w:tc>
        <w:tc>
          <w:tcPr>
            <w:tcW w:w="120" w:type="dxa"/>
            <w:vAlign w:val="bottom"/>
            <w:tcBorders>
              <w:top w:val="single" w:sz="8" w:color="EAEAEA"/>
              <w:bottom w:val="single" w:sz="8" w:color="EAEAEA"/>
            </w:tcBorders>
            <w:shd w:val="clear" w:color="auto" w:fill="EAEAEA"/>
          </w:tcPr>
          <w:p>
            <w:pPr>
              <w:spacing w:after="0"/>
              <w:rPr>
                <w:sz w:val="17"/>
                <w:szCs w:val="17"/>
                <w:color w:val="auto"/>
              </w:rPr>
            </w:pPr>
          </w:p>
        </w:tc>
        <w:tc>
          <w:tcPr>
            <w:tcW w:w="40" w:type="dxa"/>
            <w:vAlign w:val="bottom"/>
            <w:tcBorders>
              <w:top w:val="single" w:sz="8" w:color="auto"/>
              <w:bottom w:val="single" w:sz="8" w:color="EAEAEA"/>
            </w:tcBorders>
            <w:shd w:val="clear" w:color="auto" w:fill="EAEAEA"/>
          </w:tcPr>
          <w:p>
            <w:pPr>
              <w:spacing w:after="0"/>
              <w:rPr>
                <w:sz w:val="17"/>
                <w:szCs w:val="17"/>
                <w:color w:val="auto"/>
              </w:rPr>
            </w:pPr>
          </w:p>
        </w:tc>
        <w:tc>
          <w:tcPr>
            <w:tcW w:w="80" w:type="dxa"/>
            <w:vAlign w:val="bottom"/>
            <w:tcBorders>
              <w:top w:val="single" w:sz="8" w:color="auto"/>
              <w:bottom w:val="single" w:sz="8" w:color="EAEAEA"/>
            </w:tcBorders>
            <w:shd w:val="clear" w:color="auto" w:fill="EAEAEA"/>
          </w:tcPr>
          <w:p>
            <w:pPr>
              <w:spacing w:after="0"/>
              <w:rPr>
                <w:sz w:val="17"/>
                <w:szCs w:val="17"/>
                <w:color w:val="auto"/>
              </w:rPr>
            </w:pPr>
          </w:p>
        </w:tc>
        <w:tc>
          <w:tcPr>
            <w:tcW w:w="880" w:type="dxa"/>
            <w:vAlign w:val="bottom"/>
            <w:tcBorders>
              <w:top w:val="single" w:sz="8" w:color="auto"/>
              <w:bottom w:val="single" w:sz="8" w:color="EAEAEA"/>
            </w:tcBorders>
            <w:shd w:val="clear" w:color="auto" w:fill="EAEAEA"/>
          </w:tcPr>
          <w:p>
            <w:pPr>
              <w:spacing w:after="0"/>
              <w:rPr>
                <w:sz w:val="17"/>
                <w:szCs w:val="17"/>
                <w:color w:val="auto"/>
              </w:rPr>
            </w:pPr>
          </w:p>
        </w:tc>
        <w:tc>
          <w:tcPr>
            <w:tcW w:w="20" w:type="dxa"/>
            <w:vAlign w:val="bottom"/>
            <w:tcBorders>
              <w:top w:val="single" w:sz="8" w:color="auto"/>
              <w:bottom w:val="single" w:sz="8" w:color="EAEAEA"/>
            </w:tcBorders>
            <w:shd w:val="clear" w:color="auto" w:fill="EAEAEA"/>
          </w:tcPr>
          <w:p>
            <w:pPr>
              <w:spacing w:after="0"/>
              <w:rPr>
                <w:sz w:val="17"/>
                <w:szCs w:val="17"/>
                <w:color w:val="auto"/>
              </w:rPr>
            </w:pPr>
          </w:p>
        </w:tc>
        <w:tc>
          <w:tcPr>
            <w:tcW w:w="220" w:type="dxa"/>
            <w:vAlign w:val="bottom"/>
            <w:tcBorders>
              <w:top w:val="single" w:sz="8" w:color="EAEAEA"/>
              <w:bottom w:val="single" w:sz="8" w:color="EAEAEA"/>
            </w:tcBorders>
            <w:shd w:val="clear" w:color="auto" w:fill="EAEAEA"/>
          </w:tcPr>
          <w:p>
            <w:pPr>
              <w:spacing w:after="0"/>
              <w:rPr>
                <w:sz w:val="17"/>
                <w:szCs w:val="17"/>
                <w:color w:val="auto"/>
              </w:rPr>
            </w:pPr>
          </w:p>
        </w:tc>
        <w:tc>
          <w:tcPr>
            <w:tcW w:w="1060" w:type="dxa"/>
            <w:vAlign w:val="bottom"/>
            <w:tcBorders>
              <w:top w:val="single" w:sz="8" w:color="auto"/>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20"/>
                <w:szCs w:val="20"/>
                <w:color w:val="auto"/>
                <w:shd w:val="clear" w:color="auto" w:fill="EAEAEA"/>
              </w:rPr>
              <w:t>3,188</w:t>
            </w:r>
          </w:p>
        </w:tc>
        <w:tc>
          <w:tcPr>
            <w:tcW w:w="20" w:type="dxa"/>
            <w:vAlign w:val="bottom"/>
            <w:tcBorders>
              <w:top w:val="single" w:sz="8" w:color="EAEAEA"/>
              <w:bottom w:val="single" w:sz="8" w:color="EAEAEA"/>
            </w:tcBorders>
            <w:shd w:val="clear" w:color="auto" w:fill="EAEAEA"/>
          </w:tcPr>
          <w:p>
            <w:pPr>
              <w:spacing w:after="0"/>
              <w:rPr>
                <w:sz w:val="17"/>
                <w:szCs w:val="17"/>
                <w:color w:val="auto"/>
              </w:rPr>
            </w:pPr>
          </w:p>
        </w:tc>
        <w:tc>
          <w:tcPr>
            <w:tcW w:w="80" w:type="dxa"/>
            <w:vAlign w:val="bottom"/>
            <w:tcBorders>
              <w:top w:val="single" w:sz="8" w:color="EAEAEA"/>
              <w:bottom w:val="single" w:sz="8" w:color="EAEAEA"/>
            </w:tcBorders>
            <w:shd w:val="clear" w:color="auto" w:fill="EAEAEA"/>
          </w:tcPr>
          <w:p>
            <w:pPr>
              <w:spacing w:after="0"/>
              <w:rPr>
                <w:sz w:val="17"/>
                <w:szCs w:val="17"/>
                <w:color w:val="auto"/>
              </w:rPr>
            </w:pPr>
          </w:p>
        </w:tc>
        <w:tc>
          <w:tcPr>
            <w:tcW w:w="120" w:type="dxa"/>
            <w:vAlign w:val="bottom"/>
            <w:tcBorders>
              <w:top w:val="single" w:sz="8" w:color="EAEAEA"/>
              <w:bottom w:val="single" w:sz="8" w:color="EAEAEA"/>
            </w:tcBorders>
            <w:shd w:val="clear" w:color="auto" w:fill="EAEAEA"/>
          </w:tcPr>
          <w:p>
            <w:pPr>
              <w:spacing w:after="0"/>
              <w:rPr>
                <w:sz w:val="17"/>
                <w:szCs w:val="17"/>
                <w:color w:val="auto"/>
              </w:rPr>
            </w:pPr>
          </w:p>
        </w:tc>
        <w:tc>
          <w:tcPr>
            <w:tcW w:w="80" w:type="dxa"/>
            <w:vAlign w:val="bottom"/>
            <w:tcBorders>
              <w:top w:val="single" w:sz="8" w:color="auto"/>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40" w:type="dxa"/>
            <w:vAlign w:val="bottom"/>
            <w:tcBorders>
              <w:top w:val="single" w:sz="8" w:color="auto"/>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20"/>
                <w:szCs w:val="20"/>
                <w:color w:val="auto"/>
                <w:shd w:val="clear" w:color="auto" w:fill="EAEAEA"/>
              </w:rPr>
              <w:t>70.65</w:t>
            </w:r>
          </w:p>
        </w:tc>
        <w:tc>
          <w:tcPr>
            <w:tcW w:w="100" w:type="dxa"/>
            <w:vAlign w:val="bottom"/>
            <w:tcBorders>
              <w:top w:val="single" w:sz="8" w:color="EAEAEA"/>
              <w:bottom w:val="single" w:sz="8" w:color="EAEAEA"/>
            </w:tcBorders>
            <w:shd w:val="clear" w:color="auto" w:fill="EAEAEA"/>
          </w:tcPr>
          <w:p>
            <w:pPr>
              <w:spacing w:after="0"/>
              <w:rPr>
                <w:sz w:val="17"/>
                <w:szCs w:val="17"/>
                <w:color w:val="auto"/>
              </w:rPr>
            </w:pPr>
          </w:p>
        </w:tc>
        <w:tc>
          <w:tcPr>
            <w:tcW w:w="60" w:type="dxa"/>
            <w:vAlign w:val="bottom"/>
            <w:tcBorders>
              <w:top w:val="single" w:sz="8" w:color="EAEAEA"/>
              <w:bottom w:val="single" w:sz="8" w:color="EAEAEA"/>
            </w:tcBorders>
            <w:shd w:val="clear" w:color="auto" w:fill="EAEAEA"/>
          </w:tcPr>
          <w:p>
            <w:pPr>
              <w:spacing w:after="0"/>
              <w:rPr>
                <w:sz w:val="17"/>
                <w:szCs w:val="17"/>
                <w:color w:val="auto"/>
              </w:rPr>
            </w:pPr>
          </w:p>
        </w:tc>
        <w:tc>
          <w:tcPr>
            <w:tcW w:w="60" w:type="dxa"/>
            <w:vAlign w:val="bottom"/>
            <w:tcBorders>
              <w:top w:val="single" w:sz="8" w:color="EAEAEA"/>
              <w:bottom w:val="single" w:sz="8" w:color="EAEAEA"/>
            </w:tcBorders>
            <w:shd w:val="clear" w:color="auto" w:fill="EAEAEA"/>
          </w:tcPr>
          <w:p>
            <w:pPr>
              <w:spacing w:after="0"/>
              <w:rPr>
                <w:sz w:val="17"/>
                <w:szCs w:val="17"/>
                <w:color w:val="auto"/>
              </w:rPr>
            </w:pPr>
          </w:p>
        </w:tc>
        <w:tc>
          <w:tcPr>
            <w:tcW w:w="20" w:type="dxa"/>
            <w:vAlign w:val="bottom"/>
            <w:tcBorders>
              <w:top w:val="single" w:sz="8" w:color="auto"/>
              <w:bottom w:val="single" w:sz="8" w:color="EAEAEA"/>
            </w:tcBorders>
            <w:shd w:val="clear" w:color="auto" w:fill="EAEAEA"/>
          </w:tcPr>
          <w:p>
            <w:pPr>
              <w:spacing w:after="0"/>
              <w:rPr>
                <w:sz w:val="17"/>
                <w:szCs w:val="17"/>
                <w:color w:val="auto"/>
              </w:rPr>
            </w:pPr>
          </w:p>
        </w:tc>
        <w:tc>
          <w:tcPr>
            <w:tcW w:w="100" w:type="dxa"/>
            <w:vAlign w:val="bottom"/>
            <w:tcBorders>
              <w:top w:val="single" w:sz="8" w:color="auto"/>
              <w:bottom w:val="single" w:sz="8" w:color="EAEAEA"/>
            </w:tcBorders>
            <w:shd w:val="clear" w:color="auto" w:fill="EAEAEA"/>
          </w:tcPr>
          <w:p>
            <w:pPr>
              <w:spacing w:after="0"/>
              <w:rPr>
                <w:sz w:val="17"/>
                <w:szCs w:val="17"/>
                <w:color w:val="auto"/>
              </w:rPr>
            </w:pPr>
          </w:p>
        </w:tc>
        <w:tc>
          <w:tcPr>
            <w:tcW w:w="860" w:type="dxa"/>
            <w:vAlign w:val="bottom"/>
            <w:tcBorders>
              <w:top w:val="single" w:sz="8" w:color="auto"/>
              <w:bottom w:val="single" w:sz="8" w:color="EAEAEA"/>
            </w:tcBorders>
            <w:shd w:val="clear" w:color="auto" w:fill="EAEAEA"/>
          </w:tcPr>
          <w:p>
            <w:pPr>
              <w:spacing w:after="0"/>
              <w:rPr>
                <w:sz w:val="17"/>
                <w:szCs w:val="17"/>
                <w:color w:val="auto"/>
              </w:rPr>
            </w:pPr>
          </w:p>
        </w:tc>
        <w:tc>
          <w:tcPr>
            <w:tcW w:w="40" w:type="dxa"/>
            <w:vAlign w:val="bottom"/>
            <w:tcBorders>
              <w:top w:val="single" w:sz="8" w:color="auto"/>
              <w:bottom w:val="single" w:sz="8" w:color="EAEAEA"/>
            </w:tcBorders>
            <w:shd w:val="clear" w:color="auto" w:fill="EAEAEA"/>
          </w:tcPr>
          <w:p>
            <w:pPr>
              <w:spacing w:after="0"/>
              <w:rPr>
                <w:sz w:val="17"/>
                <w:szCs w:val="17"/>
                <w:color w:val="auto"/>
              </w:rPr>
            </w:pPr>
          </w:p>
        </w:tc>
        <w:tc>
          <w:tcPr>
            <w:tcW w:w="60" w:type="dxa"/>
            <w:vAlign w:val="bottom"/>
            <w:tcBorders>
              <w:top w:val="single" w:sz="8" w:color="EAEAEA"/>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$84.90</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2,652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w w:val="87"/>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4"/>
                <w:shd w:val="clear" w:color="auto" w:fill="EAEAEA"/>
              </w:rPr>
              <w:t>$85.30</w:t>
            </w:r>
          </w:p>
        </w:tc>
        <w:tc>
          <w:tcPr>
            <w:tcW w:w="1520" w:type="dxa"/>
            <w:vAlign w:val="bottom"/>
            <w:tcBorders>
              <w:bottom w:val="single" w:sz="8" w:color="EAEAEA"/>
            </w:tcBorders>
            <w:shd w:val="clear" w:color="auto" w:fill="EAEAEA"/>
          </w:tcPr>
          <w:p>
            <w:pPr>
              <w:spacing w:after="0"/>
              <w:rPr>
                <w:sz w:val="20"/>
                <w:szCs w:val="20"/>
                <w:color w:val="auto"/>
              </w:rPr>
            </w:pPr>
          </w:p>
        </w:tc>
        <w:tc>
          <w:tcPr>
            <w:tcW w:w="220" w:type="dxa"/>
            <w:vAlign w:val="bottom"/>
            <w:tcBorders>
              <w:bottom w:val="single" w:sz="8" w:color="EAEAEA"/>
            </w:tcBorders>
            <w:gridSpan w:val="2"/>
            <w:shd w:val="clear" w:color="auto" w:fill="EAEAEA"/>
          </w:tcPr>
          <w:p>
            <w:pPr>
              <w:spacing w:after="0"/>
              <w:rPr>
                <w:sz w:val="20"/>
                <w:szCs w:val="20"/>
                <w:color w:val="auto"/>
              </w:rPr>
            </w:pPr>
          </w:p>
        </w:tc>
        <w:tc>
          <w:tcPr>
            <w:tcW w:w="960" w:type="dxa"/>
            <w:vAlign w:val="bottom"/>
            <w:tcBorders>
              <w:bottom w:val="single" w:sz="8" w:color="EAEAEA"/>
            </w:tcBorders>
            <w:gridSpan w:val="2"/>
            <w:shd w:val="clear" w:color="auto" w:fill="EAEAEA"/>
          </w:tcPr>
          <w:p>
            <w:pPr>
              <w:jc w:val="right"/>
              <w:ind w:right="2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2,640</w:t>
            </w:r>
          </w:p>
        </w:tc>
        <w:tc>
          <w:tcPr>
            <w:tcW w:w="640" w:type="dxa"/>
            <w:vAlign w:val="bottom"/>
            <w:tcBorders>
              <w:bottom w:val="single" w:sz="8" w:color="EAEAEA"/>
            </w:tcBorders>
            <w:gridSpan w:val="3"/>
            <w:shd w:val="clear" w:color="auto" w:fill="EAEAEA"/>
          </w:tcPr>
          <w:p>
            <w:pPr>
              <w:spacing w:after="0"/>
              <w:rPr>
                <w:sz w:val="20"/>
                <w:szCs w:val="20"/>
                <w:color w:val="auto"/>
              </w:rPr>
            </w:pPr>
          </w:p>
        </w:tc>
        <w:tc>
          <w:tcPr>
            <w:tcW w:w="620" w:type="dxa"/>
            <w:vAlign w:val="bottom"/>
            <w:tcBorders>
              <w:bottom w:val="single" w:sz="8" w:color="EAEAEA"/>
            </w:tcBorders>
            <w:shd w:val="clear" w:color="auto" w:fill="EAEAEA"/>
          </w:tcPr>
          <w:p>
            <w:pPr>
              <w:ind w:left="380"/>
              <w:spacing w:after="0" w:line="189" w:lineRule="exact"/>
              <w:rPr>
                <w:sz w:val="20"/>
                <w:szCs w:val="20"/>
                <w:color w:val="auto"/>
              </w:rPr>
            </w:pPr>
            <w:r>
              <w:rPr>
                <w:rFonts w:ascii="Times New Roman" w:cs="Times New Roman" w:eastAsia="Times New Roman" w:hAnsi="Times New Roman"/>
                <w:sz w:val="20"/>
                <w:szCs w:val="20"/>
                <w:color w:val="auto"/>
                <w:w w:val="87"/>
                <w:shd w:val="clear" w:color="auto" w:fill="EAEAEA"/>
              </w:rPr>
              <w:t>0.7</w:t>
            </w:r>
          </w:p>
        </w:tc>
        <w:tc>
          <w:tcPr>
            <w:tcW w:w="1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40" w:type="dxa"/>
            <w:vAlign w:val="bottom"/>
            <w:tcBorders>
              <w:bottom w:val="single" w:sz="8" w:color="EAEAEA"/>
            </w:tcBorders>
            <w:shd w:val="clear" w:color="auto" w:fill="EAEAEA"/>
          </w:tcPr>
          <w:p>
            <w:pPr>
              <w:spacing w:after="0"/>
              <w:rPr>
                <w:sz w:val="20"/>
                <w:szCs w:val="20"/>
                <w:color w:val="auto"/>
              </w:rPr>
            </w:pPr>
          </w:p>
        </w:tc>
        <w:tc>
          <w:tcPr>
            <w:tcW w:w="4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shd w:val="clear" w:color="auto" w:fill="EAEAEA"/>
              </w:rPr>
              <w:t>85.30</w:t>
            </w:r>
          </w:p>
        </w:tc>
        <w:tc>
          <w:tcPr>
            <w:tcW w:w="1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88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20" w:type="dxa"/>
            <w:vAlign w:val="bottom"/>
            <w:tcBorders>
              <w:bottom w:val="single" w:sz="8" w:color="EAEAEA"/>
            </w:tcBorders>
            <w:shd w:val="clear" w:color="auto" w:fill="EAEAEA"/>
          </w:tcPr>
          <w:p>
            <w:pPr>
              <w:spacing w:after="0"/>
              <w:rPr>
                <w:sz w:val="20"/>
                <w:szCs w:val="20"/>
                <w:color w:val="auto"/>
              </w:rPr>
            </w:pPr>
          </w:p>
        </w:tc>
        <w:tc>
          <w:tcPr>
            <w:tcW w:w="106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2,640</w:t>
            </w:r>
          </w:p>
        </w:tc>
        <w:tc>
          <w:tcPr>
            <w:tcW w:w="220" w:type="dxa"/>
            <w:vAlign w:val="bottom"/>
            <w:tcBorders>
              <w:bottom w:val="single" w:sz="8" w:color="EAEAEA"/>
            </w:tcBorders>
            <w:gridSpan w:val="3"/>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85.30</w:t>
            </w:r>
          </w:p>
        </w:tc>
        <w:tc>
          <w:tcPr>
            <w:tcW w:w="10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86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20"/>
                <w:szCs w:val="20"/>
                <w:color w:val="auto"/>
              </w:rPr>
              <w:t>$70.65 – $85.30</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gridSpan w:val="3"/>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8,480</w:t>
            </w:r>
          </w:p>
        </w:tc>
        <w:tc>
          <w:tcPr>
            <w:tcW w:w="1360" w:type="dxa"/>
            <w:vAlign w:val="bottom"/>
            <w:gridSpan w:val="5"/>
          </w:tcPr>
          <w:p>
            <w:pPr>
              <w:ind w:left="1020"/>
              <w:spacing w:after="0" w:line="225" w:lineRule="exact"/>
              <w:rPr>
                <w:sz w:val="20"/>
                <w:szCs w:val="20"/>
                <w:color w:val="auto"/>
              </w:rPr>
            </w:pPr>
            <w:r>
              <w:rPr>
                <w:rFonts w:ascii="Times New Roman" w:cs="Times New Roman" w:eastAsia="Times New Roman" w:hAnsi="Times New Roman"/>
                <w:sz w:val="20"/>
                <w:szCs w:val="20"/>
                <w:color w:val="auto"/>
              </w:rPr>
              <w:t>2.3</w:t>
            </w:r>
          </w:p>
        </w:tc>
        <w:tc>
          <w:tcPr>
            <w:tcW w:w="120" w:type="dxa"/>
            <w:vAlign w:val="bottom"/>
          </w:tcPr>
          <w:p>
            <w:pPr>
              <w:spacing w:after="0"/>
              <w:rPr>
                <w:sz w:val="19"/>
                <w:szCs w:val="19"/>
                <w:color w:val="auto"/>
              </w:rPr>
            </w:pPr>
          </w:p>
        </w:tc>
        <w:tc>
          <w:tcPr>
            <w:tcW w:w="14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79.67</w:t>
            </w:r>
          </w:p>
        </w:tc>
        <w:tc>
          <w:tcPr>
            <w:tcW w:w="34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259</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8,480</w:t>
            </w:r>
          </w:p>
        </w:tc>
        <w:tc>
          <w:tcPr>
            <w:tcW w:w="30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79.67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-1354455</wp:posOffset>
            </wp:positionV>
            <wp:extent cx="5455920"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7">
                      <a:extLst>
                        <a:ext uri="{28A0092B-C50C-407E-A947-70E740481C1C}"/>
                      </a:extLst>
                    </a:blip>
                    <a:srcRect/>
                    <a:stretch>
                      <a:fillRect/>
                    </a:stretch>
                  </pic:blipFill>
                  <pic:spPr bwMode="auto">
                    <a:xfrm>
                      <a:off x="0" y="0"/>
                      <a:ext cx="5455920" cy="3492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-634365</wp:posOffset>
            </wp:positionV>
            <wp:extent cx="67437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8">
                      <a:extLst>
                        <a:ext uri="{28A0092B-C50C-407E-A947-70E740481C1C}"/>
                      </a:extLst>
                    </a:blip>
                    <a:srcRect/>
                    <a:stretch>
                      <a:fillRect/>
                    </a:stretch>
                  </pic:blipFill>
                  <pic:spPr bwMode="auto">
                    <a:xfrm>
                      <a:off x="0" y="0"/>
                      <a:ext cx="674370" cy="2540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summary of the restricted stock award activity under the director plan described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r>
      <w:tr>
        <w:trPr>
          <w:trHeight w:val="184"/>
        </w:trPr>
        <w:tc>
          <w:tcPr>
            <w:tcW w:w="7380" w:type="dxa"/>
            <w:vAlign w:val="bottom"/>
          </w:tcPr>
          <w:p>
            <w:pPr>
              <w:spacing w:after="0"/>
              <w:rPr>
                <w:sz w:val="16"/>
                <w:szCs w:val="16"/>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Unvested</w:t>
            </w:r>
          </w:p>
        </w:tc>
        <w:tc>
          <w:tcPr>
            <w:tcW w:w="100" w:type="dxa"/>
            <w:vAlign w:val="bottom"/>
          </w:tcPr>
          <w:p>
            <w:pPr>
              <w:spacing w:after="0"/>
              <w:rPr>
                <w:sz w:val="16"/>
                <w:szCs w:val="16"/>
                <w:color w:val="auto"/>
              </w:rPr>
            </w:pPr>
          </w:p>
        </w:tc>
        <w:tc>
          <w:tcPr>
            <w:tcW w:w="142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r>
      <w:tr>
        <w:trPr>
          <w:trHeight w:val="184"/>
        </w:trPr>
        <w:tc>
          <w:tcPr>
            <w:tcW w:w="7380" w:type="dxa"/>
            <w:vAlign w:val="bottom"/>
          </w:tcPr>
          <w:p>
            <w:pPr>
              <w:spacing w:after="0"/>
              <w:rPr>
                <w:sz w:val="16"/>
                <w:szCs w:val="16"/>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80" w:type="dxa"/>
            <w:vAlign w:val="bottom"/>
          </w:tcPr>
          <w:p>
            <w:pPr>
              <w:spacing w:after="0"/>
              <w:rPr>
                <w:sz w:val="16"/>
                <w:szCs w:val="16"/>
                <w:color w:val="auto"/>
              </w:rPr>
            </w:pPr>
          </w:p>
        </w:tc>
      </w:tr>
      <w:tr>
        <w:trPr>
          <w:trHeight w:val="184"/>
        </w:trPr>
        <w:tc>
          <w:tcPr>
            <w:tcW w:w="738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Stock Award</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r>
      <w:tr>
        <w:trPr>
          <w:trHeight w:val="203"/>
        </w:trPr>
        <w:tc>
          <w:tcPr>
            <w:tcW w:w="7380" w:type="dxa"/>
            <w:vAlign w:val="bottom"/>
          </w:tcPr>
          <w:p>
            <w:pPr>
              <w:spacing w:after="0"/>
              <w:rPr>
                <w:sz w:val="17"/>
                <w:szCs w:val="17"/>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42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80" w:type="dxa"/>
            <w:vAlign w:val="bottom"/>
          </w:tcPr>
          <w:p>
            <w:pPr>
              <w:spacing w:after="0"/>
              <w:rPr>
                <w:sz w:val="17"/>
                <w:szCs w:val="17"/>
                <w:color w:val="auto"/>
              </w:rPr>
            </w:pPr>
          </w:p>
        </w:tc>
      </w:tr>
      <w:tr>
        <w:trPr>
          <w:trHeight w:val="205"/>
        </w:trPr>
        <w:tc>
          <w:tcPr>
            <w:tcW w:w="7380" w:type="dxa"/>
            <w:vAlign w:val="bottom"/>
            <w:tcBorders>
              <w:top w:val="single" w:sz="8" w:color="EAEAEA"/>
              <w:bottom w:val="single" w:sz="8" w:color="EAEAEA"/>
            </w:tcBorders>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Nonvested balance at December 31, 2024</w:t>
            </w:r>
          </w:p>
        </w:tc>
        <w:tc>
          <w:tcPr>
            <w:tcW w:w="1540" w:type="dxa"/>
            <w:vAlign w:val="bottom"/>
            <w:tcBorders>
              <w:top w:val="single" w:sz="8" w:color="auto"/>
              <w:bottom w:val="single" w:sz="8" w:color="EAEAEA"/>
            </w:tcBorders>
            <w:shd w:val="clear" w:color="auto" w:fill="EAEAEA"/>
          </w:tcPr>
          <w:p>
            <w:pPr>
              <w:spacing w:after="0"/>
              <w:rPr>
                <w:sz w:val="17"/>
                <w:szCs w:val="17"/>
                <w:color w:val="auto"/>
              </w:rPr>
            </w:pPr>
          </w:p>
        </w:tc>
        <w:tc>
          <w:tcPr>
            <w:tcW w:w="280" w:type="dxa"/>
            <w:vAlign w:val="bottom"/>
            <w:tcBorders>
              <w:top w:val="single" w:sz="8" w:color="EAEAEA"/>
              <w:bottom w:val="single" w:sz="8" w:color="EAEAEA"/>
            </w:tcBorders>
            <w:shd w:val="clear" w:color="auto" w:fill="EAEAEA"/>
          </w:tcPr>
          <w:p>
            <w:pPr>
              <w:spacing w:after="0"/>
              <w:rPr>
                <w:sz w:val="17"/>
                <w:szCs w:val="17"/>
                <w:color w:val="auto"/>
              </w:rPr>
            </w:pPr>
          </w:p>
        </w:tc>
        <w:tc>
          <w:tcPr>
            <w:tcW w:w="100" w:type="dxa"/>
            <w:vAlign w:val="bottom"/>
            <w:tcBorders>
              <w:top w:val="single" w:sz="8" w:color="auto"/>
              <w:bottom w:val="single" w:sz="8" w:color="EAEAEA"/>
            </w:tcBorders>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20" w:type="dxa"/>
            <w:vAlign w:val="bottom"/>
            <w:tcBorders>
              <w:top w:val="single" w:sz="8" w:color="auto"/>
              <w:bottom w:val="single" w:sz="8" w:color="EAEAEA"/>
            </w:tcBorders>
            <w:shd w:val="clear" w:color="auto" w:fill="EAEAEA"/>
          </w:tcPr>
          <w:p>
            <w:pPr>
              <w:spacing w:after="0"/>
              <w:rPr>
                <w:sz w:val="17"/>
                <w:szCs w:val="17"/>
                <w:color w:val="auto"/>
              </w:rPr>
            </w:pPr>
          </w:p>
        </w:tc>
        <w:tc>
          <w:tcPr>
            <w:tcW w:w="80" w:type="dxa"/>
            <w:vAlign w:val="bottom"/>
            <w:tcBorders>
              <w:top w:val="single" w:sz="8" w:color="EAEAEA"/>
              <w:bottom w:val="single" w:sz="8" w:color="EAEAEA"/>
            </w:tcBorders>
            <w:shd w:val="clear" w:color="auto" w:fill="EAEAEA"/>
          </w:tcPr>
          <w:p>
            <w:pPr>
              <w:spacing w:after="0"/>
              <w:rPr>
                <w:sz w:val="17"/>
                <w:szCs w:val="17"/>
                <w:color w:val="auto"/>
              </w:rPr>
            </w:pPr>
          </w:p>
        </w:tc>
      </w:tr>
      <w:tr>
        <w:trPr>
          <w:trHeight w:val="230"/>
        </w:trPr>
        <w:tc>
          <w:tcPr>
            <w:tcW w:w="7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15,384</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104.53</w:t>
            </w:r>
          </w:p>
        </w:tc>
        <w:tc>
          <w:tcPr>
            <w:tcW w:w="80" w:type="dxa"/>
            <w:vAlign w:val="bottom"/>
          </w:tcPr>
          <w:p>
            <w:pPr>
              <w:spacing w:after="0"/>
              <w:rPr>
                <w:sz w:val="20"/>
                <w:szCs w:val="20"/>
                <w:color w:val="auto"/>
              </w:rPr>
            </w:pPr>
          </w:p>
        </w:tc>
      </w:tr>
      <w:tr>
        <w:trPr>
          <w:trHeight w:val="230"/>
        </w:trPr>
        <w:tc>
          <w:tcPr>
            <w:tcW w:w="7380" w:type="dxa"/>
            <w:vAlign w:val="bottom"/>
            <w:tcBorders>
              <w:bottom w:val="single" w:sz="8" w:color="EAEAEA"/>
            </w:tcBorders>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Vested</w:t>
            </w:r>
          </w:p>
        </w:tc>
        <w:tc>
          <w:tcPr>
            <w:tcW w:w="15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(15,384</w:t>
            </w:r>
          </w:p>
        </w:tc>
        <w:tc>
          <w:tcPr>
            <w:tcW w:w="280" w:type="dxa"/>
            <w:vAlign w:val="bottom"/>
            <w:tcBorders>
              <w:bottom w:val="single" w:sz="8" w:color="EAEAEA"/>
            </w:tcBorders>
            <w:shd w:val="clear" w:color="auto" w:fill="EAEAEA"/>
          </w:tcPr>
          <w:p>
            <w:pPr>
              <w:jc w:val="right"/>
              <w:ind w:right="140"/>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1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4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104.53</w:t>
            </w:r>
          </w:p>
        </w:tc>
        <w:tc>
          <w:tcPr>
            <w:tcW w:w="80" w:type="dxa"/>
            <w:vAlign w:val="bottom"/>
            <w:tcBorders>
              <w:bottom w:val="single" w:sz="8" w:color="EAEAEA"/>
            </w:tcBorders>
            <w:shd w:val="clear" w:color="auto" w:fill="EAEAEA"/>
          </w:tcPr>
          <w:p>
            <w:pPr>
              <w:spacing w:after="0"/>
              <w:rPr>
                <w:sz w:val="20"/>
                <w:szCs w:val="20"/>
                <w:color w:val="auto"/>
              </w:rPr>
            </w:pPr>
          </w:p>
        </w:tc>
      </w:tr>
      <w:tr>
        <w:trPr>
          <w:trHeight w:val="225"/>
        </w:trPr>
        <w:tc>
          <w:tcPr>
            <w:tcW w:w="73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Nonvested balance at December 31, 2025</w:t>
            </w:r>
          </w:p>
        </w:tc>
        <w:tc>
          <w:tcPr>
            <w:tcW w:w="154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weighted average grant date fair value of restricted stock awards granted under the director plan for the years ended December 31, 2025, 2024, and 2023 were $104.53, $109.99, and $72.67, respectively.</w:t>
      </w:r>
    </w:p>
    <w:p>
      <w:pPr>
        <w:spacing w:after="0" w:line="128" w:lineRule="exact"/>
        <w:rPr>
          <w:sz w:val="20"/>
          <w:szCs w:val="20"/>
          <w:color w:val="auto"/>
        </w:rPr>
      </w:pPr>
    </w:p>
    <w:p>
      <w:pPr>
        <w:jc w:val="both"/>
        <w:ind w:right="20" w:firstLine="358"/>
        <w:spacing w:after="0" w:line="279" w:lineRule="auto"/>
        <w:rPr>
          <w:sz w:val="20"/>
          <w:szCs w:val="20"/>
          <w:color w:val="auto"/>
        </w:rPr>
      </w:pPr>
      <w:r>
        <w:rPr>
          <w:rFonts w:ascii="Times New Roman" w:cs="Times New Roman" w:eastAsia="Times New Roman" w:hAnsi="Times New Roman"/>
          <w:sz w:val="20"/>
          <w:szCs w:val="20"/>
          <w:color w:val="auto"/>
        </w:rPr>
        <w:t>The total intrinsic value of all stock options exercised under all of the Company’s plans was $2.4 million, $5.4 million, and $1. 5 million for the years ended December 31, 2025, 2024, and 2023, respectively.</w:t>
      </w:r>
    </w:p>
    <w:p>
      <w:pPr>
        <w:spacing w:after="0" w:line="125" w:lineRule="exact"/>
        <w:rPr>
          <w:sz w:val="20"/>
          <w:szCs w:val="20"/>
          <w:color w:val="auto"/>
        </w:rPr>
      </w:pPr>
    </w:p>
    <w:p>
      <w:pPr>
        <w:jc w:val="both"/>
        <w:ind w:firstLine="359"/>
        <w:spacing w:after="0" w:line="253" w:lineRule="auto"/>
        <w:rPr>
          <w:sz w:val="20"/>
          <w:szCs w:val="20"/>
          <w:color w:val="auto"/>
        </w:rPr>
      </w:pPr>
      <w:r>
        <w:rPr>
          <w:rFonts w:ascii="Times New Roman" w:cs="Times New Roman" w:eastAsia="Times New Roman" w:hAnsi="Times New Roman"/>
          <w:sz w:val="20"/>
          <w:szCs w:val="20"/>
          <w:color w:val="auto"/>
        </w:rPr>
        <w:t>The total fair value of all the restricted stock vestings under all of the Company’s plans was $1.6 million, $1.9 million, and $2.5 million for the years ended December 31, 2025, 2024, and 2023, respectively. The actual tax benefit realized for tax deductions from restricted stock vestings was $0.4 million, $0.4 million, and $0.6 million for the years ended December 31, 2025, 2024, and 2023, respectively.</w:t>
      </w:r>
    </w:p>
    <w:p>
      <w:pPr>
        <w:spacing w:after="0" w:line="15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total fair value of all the RSU vestings under the Company’s employee plan was $17.9 million, $ 15.4 million, and $10.9 million for the years ended December 31, 2025, 2024, and 2023, respectively. The actual tax benefit realized for tax deductions from RSU vestings was $4.4 million, $3.7 million, and $2.6 million for the years ended December 31, 2025, 2024, and 2023, respectively.</w:t>
      </w:r>
    </w:p>
    <w:p>
      <w:pPr>
        <w:spacing w:after="0" w:line="145"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20"/>
          <w:szCs w:val="20"/>
          <w:color w:val="auto"/>
        </w:rPr>
        <w:t>As of December 31, 2025, there was $11.3 million of unrecognized compensation cost related to nonvested RSUs and none related to restricted stock. The RSUs are expected to be recognized over a weighted average period of approximately 2.6 years.</w:t>
      </w:r>
    </w:p>
    <w:p>
      <w:pPr>
        <w:spacing w:after="0" w:line="12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There were no stock options granted under the employee plan during the years ended December 31, 2025, 2024, and 2023. The weighted average per share fair value of stock options granted under the director plan during the year ended December 31, 2023 wa $32.33 and the fair value of the stock options was $0.1 million. There were no stock options granted under the director plan during the years ended December 31, 2025 and 2024. The Company currently uses treasury stock shares for restricted stock grants, RSU</w:t>
      </w:r>
    </w:p>
    <w:p>
      <w:pPr>
        <w:sectPr>
          <w:pgSz w:w="12240" w:h="15840" w:orient="portrait"/>
          <w:cols w:equalWidth="0" w:num="1">
            <w:col w:w="10800"/>
          </w:cols>
          <w:pgMar w:left="720" w:top="929" w:right="720" w:bottom="199"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ectPr>
          <w:pgSz w:w="12240" w:h="15840" w:orient="portrait"/>
          <w:cols w:equalWidth="0" w:num="1">
            <w:col w:w="10800"/>
          </w:cols>
          <w:pgMar w:left="720" w:top="929" w:right="720" w:bottom="199" w:gutter="0" w:footer="0" w:header="0"/>
          <w:type w:val="continuous"/>
        </w:sectPr>
      </w:pPr>
    </w:p>
    <w:bookmarkStart w:id="80" w:name="page81"/>
    <w:bookmarkEnd w:id="80"/>
    <w:p>
      <w:pPr>
        <w:spacing w:after="0" w:line="278" w:lineRule="auto"/>
        <w:rPr>
          <w:sz w:val="20"/>
          <w:szCs w:val="20"/>
          <w:color w:val="auto"/>
        </w:rPr>
      </w:pPr>
      <w:r>
        <w:rPr>
          <w:rFonts w:ascii="Times New Roman" w:cs="Times New Roman" w:eastAsia="Times New Roman" w:hAnsi="Times New Roman"/>
          <w:sz w:val="20"/>
          <w:szCs w:val="20"/>
          <w:color w:val="auto"/>
        </w:rPr>
        <w:t>vestings, and stock option exercises. The fair value of each stock option was determined using the Black-Scholes option pricing model.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key input variables used in valuing the stock options granted in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8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8700" w:type="dxa"/>
            <w:vAlign w:val="bottom"/>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gridSpan w:val="2"/>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700" w:type="dxa"/>
            <w:vAlign w:val="bottom"/>
            <w:tcBorders>
              <w:bottom w:val="single" w:sz="8" w:color="EAEAEA"/>
            </w:tcBorders>
          </w:tcPr>
          <w:p>
            <w:pPr>
              <w:spacing w:after="0"/>
              <w:rPr>
                <w:sz w:val="15"/>
                <w:szCs w:val="15"/>
                <w:color w:val="auto"/>
              </w:rPr>
            </w:pPr>
          </w:p>
        </w:tc>
        <w:tc>
          <w:tcPr>
            <w:tcW w:w="1440" w:type="dxa"/>
            <w:vAlign w:val="bottom"/>
            <w:tcBorders>
              <w:bottom w:val="single" w:sz="8" w:color="auto"/>
            </w:tcBorders>
            <w:gridSpan w:val="2"/>
          </w:tcPr>
          <w:p>
            <w:pPr>
              <w:jc w:val="right"/>
              <w:ind w:right="253"/>
              <w:spacing w:after="0" w:line="182" w:lineRule="exact"/>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70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Dividend yield</w:t>
            </w:r>
          </w:p>
        </w:tc>
        <w:tc>
          <w:tcPr>
            <w:tcW w:w="40" w:type="dxa"/>
            <w:vAlign w:val="bottom"/>
            <w:tcBorders>
              <w:bottom w:val="single" w:sz="8" w:color="EAEAEA"/>
            </w:tcBorders>
            <w:shd w:val="clear" w:color="auto" w:fill="EAEAEA"/>
          </w:tcPr>
          <w:p>
            <w:pPr>
              <w:spacing w:after="0"/>
              <w:rPr>
                <w:sz w:val="17"/>
                <w:szCs w:val="17"/>
                <w:color w:val="auto"/>
              </w:rPr>
            </w:pPr>
          </w:p>
        </w:tc>
        <w:tc>
          <w:tcPr>
            <w:tcW w:w="140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96"/>
                <w:shd w:val="clear" w:color="auto" w:fill="EAEAEA"/>
              </w:rPr>
              <w:t>None</w:t>
            </w:r>
          </w:p>
        </w:tc>
        <w:tc>
          <w:tcPr>
            <w:tcW w:w="2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Average risk-free interest rate</w:t>
            </w:r>
          </w:p>
        </w:tc>
        <w:tc>
          <w:tcPr>
            <w:tcW w:w="210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EAEAEA"/>
            </w:tcBorders>
            <w:shd w:val="clear" w:color="auto" w:fill="EAEAEA"/>
          </w:tcPr>
          <w:p>
            <w:pPr>
              <w:ind w:left="2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Stock price volatility</w:t>
            </w:r>
          </w:p>
        </w:tc>
        <w:tc>
          <w:tcPr>
            <w:tcW w:w="1440" w:type="dxa"/>
            <w:vAlign w:val="bottom"/>
            <w:tcBorders>
              <w:bottom w:val="single" w:sz="8" w:color="EAEAEA"/>
            </w:tcBorders>
            <w:gridSpan w:val="2"/>
            <w:shd w:val="clear" w:color="auto" w:fill="EAEAEA"/>
          </w:tcPr>
          <w:p>
            <w:pPr>
              <w:spacing w:after="0"/>
              <w:rPr>
                <w:sz w:val="18"/>
                <w:szCs w:val="18"/>
                <w:color w:val="auto"/>
              </w:rPr>
            </w:pPr>
          </w:p>
        </w:tc>
        <w:tc>
          <w:tcPr>
            <w:tcW w:w="660" w:type="dxa"/>
            <w:vAlign w:val="bottom"/>
            <w:tcBorders>
              <w:bottom w:val="single" w:sz="8" w:color="EAEAEA"/>
            </w:tcBorders>
            <w:gridSpan w:val="3"/>
            <w:shd w:val="clear" w:color="auto" w:fill="EAEAEA"/>
          </w:tcPr>
          <w:p>
            <w:pPr>
              <w:jc w:val="right"/>
              <w:ind w:right="6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35%</w:t>
            </w:r>
          </w:p>
        </w:tc>
        <w:tc>
          <w:tcPr>
            <w:tcW w:w="0" w:type="dxa"/>
            <w:vAlign w:val="bottom"/>
          </w:tcPr>
          <w:p>
            <w:pPr>
              <w:spacing w:after="0"/>
              <w:rPr>
                <w:sz w:val="1"/>
                <w:szCs w:val="1"/>
                <w:color w:val="auto"/>
              </w:rPr>
            </w:pPr>
          </w:p>
        </w:tc>
      </w:tr>
      <w:tr>
        <w:trPr>
          <w:trHeight w:val="267"/>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Estimated option term</w:t>
            </w:r>
          </w:p>
        </w:tc>
        <w:tc>
          <w:tcPr>
            <w:tcW w:w="40" w:type="dxa"/>
            <w:vAlign w:val="bottom"/>
          </w:tcPr>
          <w:p>
            <w:pPr>
              <w:spacing w:after="0"/>
              <w:rPr>
                <w:sz w:val="23"/>
                <w:szCs w:val="23"/>
                <w:color w:val="auto"/>
              </w:rPr>
            </w:pPr>
          </w:p>
        </w:tc>
        <w:tc>
          <w:tcPr>
            <w:tcW w:w="20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7 years</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Taxes on Income</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Earnings (loss) before taxes on income and details of the provision (benefit) for taxes on income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780" w:type="dxa"/>
            <w:vAlign w:val="bottom"/>
            <w:gridSpan w:val="8"/>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 w:type="dxa"/>
            <w:vAlign w:val="bottom"/>
            <w:tcBorders>
              <w:bottom w:val="single" w:sz="8" w:color="EAEAEA"/>
            </w:tcBorders>
          </w:tcPr>
          <w:p>
            <w:pPr>
              <w:spacing w:after="0"/>
              <w:rPr>
                <w:sz w:val="16"/>
                <w:szCs w:val="16"/>
                <w:color w:val="auto"/>
              </w:rPr>
            </w:pPr>
          </w:p>
        </w:tc>
        <w:tc>
          <w:tcPr>
            <w:tcW w:w="660" w:type="dxa"/>
            <w:vAlign w:val="bottom"/>
            <w:tcBorders>
              <w:bottom w:val="single" w:sz="8" w:color="EAEAEA"/>
            </w:tcBorders>
          </w:tcPr>
          <w:p>
            <w:pPr>
              <w:spacing w:after="0"/>
              <w:rPr>
                <w:sz w:val="16"/>
                <w:szCs w:val="16"/>
                <w:color w:val="auto"/>
              </w:rPr>
            </w:pPr>
          </w:p>
        </w:tc>
        <w:tc>
          <w:tcPr>
            <w:tcW w:w="180" w:type="dxa"/>
            <w:vAlign w:val="bottom"/>
            <w:tcBorders>
              <w:bottom w:val="single" w:sz="8" w:color="EAEAEA"/>
            </w:tcBorders>
          </w:tcPr>
          <w:p>
            <w:pPr>
              <w:spacing w:after="0"/>
              <w:rPr>
                <w:sz w:val="16"/>
                <w:szCs w:val="16"/>
                <w:color w:val="auto"/>
              </w:rPr>
            </w:pPr>
          </w:p>
        </w:tc>
        <w:tc>
          <w:tcPr>
            <w:tcW w:w="5260" w:type="dxa"/>
            <w:vAlign w:val="bottom"/>
            <w:tcBorders>
              <w:bottom w:val="single" w:sz="8" w:color="EAEAEA"/>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80" w:type="dxa"/>
            <w:vAlign w:val="bottom"/>
            <w:tcBorders>
              <w:top w:val="single" w:sz="8" w:color="auto"/>
              <w:bottom w:val="single" w:sz="8" w:color="EAEAEA"/>
            </w:tcBorders>
          </w:tcPr>
          <w:p>
            <w:pPr>
              <w:spacing w:after="0"/>
              <w:rPr>
                <w:sz w:val="16"/>
                <w:szCs w:val="16"/>
                <w:color w:val="auto"/>
              </w:rPr>
            </w:pPr>
          </w:p>
        </w:tc>
        <w:tc>
          <w:tcPr>
            <w:tcW w:w="16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00" w:type="dxa"/>
            <w:vAlign w:val="bottom"/>
            <w:gridSpan w:val="4"/>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Earnings (loss) before taxes on income:</w:t>
            </w:r>
          </w:p>
        </w:tc>
        <w:tc>
          <w:tcPr>
            <w:tcW w:w="28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20" w:type="dxa"/>
            <w:vAlign w:val="bottom"/>
            <w:tcBorders>
              <w:lef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00" w:type="dxa"/>
            <w:vAlign w:val="bottom"/>
            <w:tcBorders>
              <w:left w:val="single" w:sz="8" w:color="EAEAEA"/>
            </w:tcBorders>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100" w:type="dxa"/>
            <w:vAlign w:val="bottom"/>
            <w:tcBorders>
              <w:left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471,286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363,563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293,011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Borders>
              <w:bottom w:val="single" w:sz="8" w:color="EAEAEA"/>
            </w:tcBorders>
            <w:shd w:val="clear" w:color="auto" w:fill="EAEAEA"/>
          </w:tcPr>
          <w:p>
            <w:pPr>
              <w:spacing w:after="0"/>
              <w:rPr>
                <w:sz w:val="20"/>
                <w:szCs w:val="20"/>
                <w:color w:val="auto"/>
              </w:rPr>
            </w:pPr>
          </w:p>
        </w:tc>
        <w:tc>
          <w:tcPr>
            <w:tcW w:w="66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Foreign</w:t>
            </w:r>
          </w:p>
        </w:tc>
        <w:tc>
          <w:tcPr>
            <w:tcW w:w="180" w:type="dxa"/>
            <w:vAlign w:val="bottom"/>
            <w:tcBorders>
              <w:bottom w:val="single" w:sz="8" w:color="EAEAEA"/>
            </w:tcBorders>
            <w:shd w:val="clear" w:color="auto" w:fill="EAEAEA"/>
          </w:tcPr>
          <w:p>
            <w:pPr>
              <w:spacing w:after="0"/>
              <w:rPr>
                <w:sz w:val="20"/>
                <w:szCs w:val="20"/>
                <w:color w:val="auto"/>
              </w:rPr>
            </w:pPr>
          </w:p>
        </w:tc>
        <w:tc>
          <w:tcPr>
            <w:tcW w:w="5260" w:type="dxa"/>
            <w:vAlign w:val="bottom"/>
            <w:tcBorders>
              <w:bottom w:val="single" w:sz="8" w:color="EAEAEA"/>
            </w:tcBorders>
            <w:shd w:val="clear" w:color="auto" w:fill="EAEAEA"/>
          </w:tcPr>
          <w:p>
            <w:pPr>
              <w:spacing w:after="0"/>
              <w:rPr>
                <w:sz w:val="20"/>
                <w:szCs w:val="20"/>
                <w:color w:val="auto"/>
              </w:rPr>
            </w:pPr>
          </w:p>
        </w:tc>
        <w:tc>
          <w:tcPr>
            <w:tcW w:w="280" w:type="dxa"/>
            <w:vAlign w:val="bottom"/>
            <w:tcBorders>
              <w:bottom w:val="single" w:sz="8" w:color="EAEAEA"/>
            </w:tcBorders>
            <w:shd w:val="clear" w:color="auto" w:fill="EAEAEA"/>
          </w:tcPr>
          <w:p>
            <w:pPr>
              <w:spacing w:after="0"/>
              <w:rPr>
                <w:sz w:val="20"/>
                <w:szCs w:val="20"/>
                <w:color w:val="auto"/>
              </w:rPr>
            </w:pPr>
          </w:p>
        </w:tc>
        <w:tc>
          <w:tcPr>
            <w:tcW w:w="48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4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126</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68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7"/>
                <w:shd w:val="clear" w:color="auto" w:fill="EAEAEA"/>
              </w:rPr>
              <w:t>(800</w:t>
            </w:r>
          </w:p>
        </w:tc>
        <w:tc>
          <w:tcPr>
            <w:tcW w:w="120" w:type="dxa"/>
            <w:vAlign w:val="bottom"/>
            <w:tcBorders>
              <w:left w:val="single" w:sz="8" w:color="EAEAEA"/>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9"/>
                <w:shd w:val="clear" w:color="auto" w:fill="EAEAEA"/>
              </w:rPr>
              <w:t>)</w:t>
            </w:r>
          </w:p>
        </w:tc>
        <w:tc>
          <w:tcPr>
            <w:tcW w:w="14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left w:val="single" w:sz="8" w:color="EAEAEA"/>
              <w:bottom w:val="single" w:sz="8" w:color="EAEAEA"/>
            </w:tcBorders>
            <w:shd w:val="clear" w:color="auto" w:fill="EAEAEA"/>
          </w:tcPr>
          <w:p>
            <w:pPr>
              <w:spacing w:after="0"/>
              <w:rPr>
                <w:sz w:val="20"/>
                <w:szCs w:val="20"/>
                <w:color w:val="auto"/>
              </w:rPr>
            </w:pPr>
          </w:p>
        </w:tc>
        <w:tc>
          <w:tcPr>
            <w:tcW w:w="48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4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rPr>
              <w:t>1,114</w:t>
            </w:r>
          </w:p>
        </w:tc>
        <w:tc>
          <w:tcPr>
            <w:tcW w:w="100" w:type="dxa"/>
            <w:vAlign w:val="bottom"/>
            <w:tcBorders>
              <w:left w:val="single" w:sz="8" w:color="EAEAEA"/>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0" w:type="dxa"/>
            <w:vAlign w:val="bottom"/>
            <w:tcBorders>
              <w:bottom w:val="single" w:sz="8" w:color="EAEAEA"/>
            </w:tcBorders>
          </w:tcPr>
          <w:p>
            <w:pPr>
              <w:spacing w:after="0"/>
              <w:rPr>
                <w:sz w:val="23"/>
                <w:szCs w:val="23"/>
                <w:color w:val="auto"/>
              </w:rPr>
            </w:pPr>
          </w:p>
        </w:tc>
        <w:tc>
          <w:tcPr>
            <w:tcW w:w="660" w:type="dxa"/>
            <w:vAlign w:val="bottom"/>
            <w:tcBorders>
              <w:bottom w:val="single" w:sz="8" w:color="EAEAEA"/>
            </w:tcBorders>
          </w:tcPr>
          <w:p>
            <w:pPr>
              <w:spacing w:after="0"/>
              <w:rPr>
                <w:sz w:val="23"/>
                <w:szCs w:val="23"/>
                <w:color w:val="auto"/>
              </w:rPr>
            </w:pPr>
          </w:p>
        </w:tc>
        <w:tc>
          <w:tcPr>
            <w:tcW w:w="180" w:type="dxa"/>
            <w:vAlign w:val="bottom"/>
            <w:tcBorders>
              <w:bottom w:val="single" w:sz="8" w:color="EAEAEA"/>
            </w:tcBorders>
          </w:tcPr>
          <w:p>
            <w:pPr>
              <w:spacing w:after="0"/>
              <w:rPr>
                <w:sz w:val="23"/>
                <w:szCs w:val="23"/>
                <w:color w:val="auto"/>
              </w:rPr>
            </w:pPr>
          </w:p>
        </w:tc>
        <w:tc>
          <w:tcPr>
            <w:tcW w:w="5260" w:type="dxa"/>
            <w:vAlign w:val="bottom"/>
            <w:tcBorders>
              <w:bottom w:val="single" w:sz="8" w:color="EAEAEA"/>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471,412</w:t>
            </w:r>
          </w:p>
        </w:tc>
        <w:tc>
          <w:tcPr>
            <w:tcW w:w="20" w:type="dxa"/>
            <w:vAlign w:val="bottom"/>
            <w:tcBorders>
              <w:top w:val="single" w:sz="8" w:color="auto"/>
              <w:bottom w:val="single" w:sz="8" w:color="auto"/>
            </w:tcBorders>
          </w:tcPr>
          <w:p>
            <w:pPr>
              <w:spacing w:after="0"/>
              <w:rPr>
                <w:sz w:val="23"/>
                <w:szCs w:val="23"/>
                <w:color w:val="auto"/>
              </w:rPr>
            </w:pPr>
          </w:p>
        </w:tc>
        <w:tc>
          <w:tcPr>
            <w:tcW w:w="20" w:type="dxa"/>
            <w:vAlign w:val="bottom"/>
            <w:tcBorders>
              <w:bottom w:val="single" w:sz="8" w:color="EAEAEA"/>
            </w:tcBorders>
          </w:tcPr>
          <w:p>
            <w:pPr>
              <w:spacing w:after="0"/>
              <w:rPr>
                <w:sz w:val="23"/>
                <w:szCs w:val="23"/>
                <w:color w:val="auto"/>
              </w:rPr>
            </w:pPr>
          </w:p>
        </w:tc>
        <w:tc>
          <w:tcPr>
            <w:tcW w:w="240" w:type="dxa"/>
            <w:vAlign w:val="bottom"/>
            <w:tcBorders>
              <w:bottom w:val="single" w:sz="8" w:color="EAEAEA"/>
            </w:tcBorders>
            <w:gridSpan w:val="2"/>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362,763</w:t>
            </w:r>
          </w:p>
        </w:tc>
        <w:tc>
          <w:tcPr>
            <w:tcW w:w="120" w:type="dxa"/>
            <w:vAlign w:val="bottom"/>
            <w:tcBorders>
              <w:bottom w:val="single" w:sz="8" w:color="EAEAEA"/>
            </w:tcBorders>
          </w:tcPr>
          <w:p>
            <w:pPr>
              <w:spacing w:after="0"/>
              <w:rPr>
                <w:sz w:val="23"/>
                <w:szCs w:val="23"/>
                <w:color w:val="auto"/>
              </w:rPr>
            </w:pPr>
          </w:p>
        </w:tc>
        <w:tc>
          <w:tcPr>
            <w:tcW w:w="140" w:type="dxa"/>
            <w:vAlign w:val="bottom"/>
            <w:tcBorders>
              <w:bottom w:val="single" w:sz="8" w:color="EAEAEA"/>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294,125</w:t>
            </w:r>
          </w:p>
        </w:tc>
        <w:tc>
          <w:tcPr>
            <w:tcW w:w="100" w:type="dxa"/>
            <w:vAlign w:val="bottom"/>
            <w:tcBorders>
              <w:bottom w:val="single" w:sz="8" w:color="EAEAEA"/>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EAEAEA"/>
          </w:tcPr>
          <w:p>
            <w:pPr>
              <w:spacing w:after="0"/>
              <w:rPr>
                <w:sz w:val="18"/>
                <w:szCs w:val="18"/>
                <w:color w:val="auto"/>
              </w:rPr>
            </w:pPr>
          </w:p>
        </w:tc>
        <w:tc>
          <w:tcPr>
            <w:tcW w:w="6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526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4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4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6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120" w:type="dxa"/>
            <w:vAlign w:val="bottom"/>
            <w:tcBorders>
              <w:left w:val="single" w:sz="8" w:color="EAEAEA"/>
            </w:tcBorders>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300" w:type="dxa"/>
            <w:vAlign w:val="bottom"/>
            <w:tcBorders>
              <w:left w:val="single" w:sz="8" w:color="EAEAEA"/>
            </w:tcBorders>
            <w:shd w:val="clear" w:color="auto" w:fill="EAEAEA"/>
          </w:tcPr>
          <w:p>
            <w:pPr>
              <w:spacing w:after="0"/>
              <w:rPr>
                <w:sz w:val="18"/>
                <w:szCs w:val="18"/>
                <w:color w:val="auto"/>
              </w:rPr>
            </w:pPr>
          </w:p>
        </w:tc>
        <w:tc>
          <w:tcPr>
            <w:tcW w:w="48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100" w:type="dxa"/>
            <w:vAlign w:val="bottom"/>
            <w:tcBorders>
              <w:left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Provision (benefit) for taxes on income:</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EAEAEA"/>
            </w:tcBorders>
            <w:shd w:val="clear" w:color="auto" w:fill="EAEAEA"/>
          </w:tcPr>
          <w:p>
            <w:pPr>
              <w:spacing w:after="0"/>
              <w:rPr>
                <w:sz w:val="18"/>
                <w:szCs w:val="18"/>
                <w:color w:val="auto"/>
              </w:rPr>
            </w:pPr>
          </w:p>
        </w:tc>
        <w:tc>
          <w:tcPr>
            <w:tcW w:w="6100" w:type="dxa"/>
            <w:vAlign w:val="bottom"/>
            <w:tcBorders>
              <w:bottom w:val="single" w:sz="8" w:color="EAEAEA"/>
            </w:tcBorders>
            <w:gridSpan w:val="3"/>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U.S. Federal:</w:t>
            </w:r>
          </w:p>
        </w:tc>
        <w:tc>
          <w:tcPr>
            <w:tcW w:w="280" w:type="dxa"/>
            <w:vAlign w:val="bottom"/>
            <w:tcBorders>
              <w:bottom w:val="single" w:sz="8" w:color="EAEAEA"/>
            </w:tcBorders>
            <w:shd w:val="clear" w:color="auto" w:fill="EAEAEA"/>
          </w:tcPr>
          <w:p>
            <w:pPr>
              <w:spacing w:after="0"/>
              <w:rPr>
                <w:sz w:val="18"/>
                <w:szCs w:val="18"/>
                <w:color w:val="auto"/>
              </w:rPr>
            </w:pPr>
          </w:p>
        </w:tc>
        <w:tc>
          <w:tcPr>
            <w:tcW w:w="48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4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left w:val="single" w:sz="8" w:color="EAEAEA"/>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left w:val="single" w:sz="8" w:color="EAEAEA"/>
              <w:bottom w:val="single" w:sz="8" w:color="EAEAEA"/>
            </w:tcBorders>
            <w:shd w:val="clear" w:color="auto" w:fill="EAEAEA"/>
          </w:tcPr>
          <w:p>
            <w:pPr>
              <w:spacing w:after="0"/>
              <w:rPr>
                <w:sz w:val="18"/>
                <w:szCs w:val="18"/>
                <w:color w:val="auto"/>
              </w:rPr>
            </w:pPr>
          </w:p>
        </w:tc>
        <w:tc>
          <w:tcPr>
            <w:tcW w:w="48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left w:val="single" w:sz="8" w:color="EAEAEA"/>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Current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25,282</w:t>
            </w:r>
          </w:p>
        </w:tc>
        <w:tc>
          <w:tcPr>
            <w:tcW w:w="20" w:type="dxa"/>
            <w:vAlign w:val="bottom"/>
          </w:tcPr>
          <w:p>
            <w:pPr>
              <w:spacing w:after="0"/>
              <w:rPr>
                <w:sz w:val="20"/>
                <w:szCs w:val="20"/>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36,520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0"/>
        </w:trPr>
        <w:tc>
          <w:tcPr>
            <w:tcW w:w="200" w:type="dxa"/>
            <w:vAlign w:val="bottom"/>
            <w:tcBorders>
              <w:bottom w:val="single" w:sz="8" w:color="EAEAEA"/>
            </w:tcBorders>
            <w:shd w:val="clear" w:color="auto" w:fill="EAEAEA"/>
          </w:tcPr>
          <w:p>
            <w:pPr>
              <w:spacing w:after="0"/>
              <w:rPr>
                <w:sz w:val="20"/>
                <w:szCs w:val="20"/>
                <w:color w:val="auto"/>
              </w:rPr>
            </w:pPr>
          </w:p>
        </w:tc>
        <w:tc>
          <w:tcPr>
            <w:tcW w:w="6100" w:type="dxa"/>
            <w:vAlign w:val="bottom"/>
            <w:tcBorders>
              <w:bottom w:val="single" w:sz="8" w:color="EAEAEA"/>
            </w:tcBorders>
            <w:gridSpan w:val="3"/>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Deferred</w:t>
            </w:r>
          </w:p>
        </w:tc>
        <w:tc>
          <w:tcPr>
            <w:tcW w:w="280" w:type="dxa"/>
            <w:vAlign w:val="bottom"/>
            <w:tcBorders>
              <w:bottom w:val="single" w:sz="8" w:color="EAEAEA"/>
            </w:tcBorders>
            <w:shd w:val="clear" w:color="auto" w:fill="EAEAEA"/>
          </w:tcPr>
          <w:p>
            <w:pPr>
              <w:spacing w:after="0"/>
              <w:rPr>
                <w:sz w:val="20"/>
                <w:szCs w:val="20"/>
                <w:color w:val="auto"/>
              </w:rPr>
            </w:pPr>
          </w:p>
        </w:tc>
        <w:tc>
          <w:tcPr>
            <w:tcW w:w="100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73,958</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20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41,548</w:t>
            </w:r>
          </w:p>
        </w:tc>
        <w:tc>
          <w:tcPr>
            <w:tcW w:w="120" w:type="dxa"/>
            <w:vAlign w:val="bottom"/>
            <w:tcBorders>
              <w:left w:val="single" w:sz="8" w:color="EAEAEA"/>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left w:val="single" w:sz="8" w:color="EAEAEA"/>
              <w:bottom w:val="single" w:sz="8" w:color="EAEAEA"/>
            </w:tcBorders>
            <w:shd w:val="clear" w:color="auto" w:fill="EAEAEA"/>
          </w:tcPr>
          <w:p>
            <w:pPr>
              <w:spacing w:after="0"/>
              <w:rPr>
                <w:sz w:val="20"/>
                <w:szCs w:val="20"/>
                <w:color w:val="auto"/>
              </w:rPr>
            </w:pPr>
          </w:p>
        </w:tc>
        <w:tc>
          <w:tcPr>
            <w:tcW w:w="480" w:type="dxa"/>
            <w:vAlign w:val="bottom"/>
            <w:tcBorders>
              <w:bottom w:val="single" w:sz="8" w:color="EAEAEA"/>
            </w:tcBorders>
            <w:shd w:val="clear" w:color="auto" w:fill="EAEAEA"/>
          </w:tcPr>
          <w:p>
            <w:pPr>
              <w:spacing w:after="0"/>
              <w:rPr>
                <w:sz w:val="20"/>
                <w:szCs w:val="20"/>
                <w:color w:val="auto"/>
              </w:rPr>
            </w:pPr>
          </w:p>
        </w:tc>
        <w:tc>
          <w:tcPr>
            <w:tcW w:w="52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0"/>
                <w:shd w:val="clear" w:color="auto" w:fill="EAEAEA"/>
              </w:rPr>
              <w:t>61,205</w:t>
            </w:r>
          </w:p>
        </w:tc>
        <w:tc>
          <w:tcPr>
            <w:tcW w:w="100" w:type="dxa"/>
            <w:vAlign w:val="bottom"/>
            <w:tcBorders>
              <w:left w:val="single" w:sz="8" w:color="EAEAEA"/>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0" w:type="dxa"/>
            <w:vAlign w:val="bottom"/>
            <w:tcBorders>
              <w:bottom w:val="single" w:sz="8" w:color="EAEAEA"/>
            </w:tcBorders>
          </w:tcPr>
          <w:p>
            <w:pPr>
              <w:spacing w:after="0"/>
              <w:rPr>
                <w:sz w:val="23"/>
                <w:szCs w:val="23"/>
                <w:color w:val="auto"/>
              </w:rPr>
            </w:pPr>
          </w:p>
        </w:tc>
        <w:tc>
          <w:tcPr>
            <w:tcW w:w="660" w:type="dxa"/>
            <w:vAlign w:val="bottom"/>
            <w:tcBorders>
              <w:bottom w:val="single" w:sz="8" w:color="EAEAEA"/>
            </w:tcBorders>
          </w:tcPr>
          <w:p>
            <w:pPr>
              <w:spacing w:after="0"/>
              <w:rPr>
                <w:sz w:val="23"/>
                <w:szCs w:val="23"/>
                <w:color w:val="auto"/>
              </w:rPr>
            </w:pPr>
          </w:p>
        </w:tc>
        <w:tc>
          <w:tcPr>
            <w:tcW w:w="180" w:type="dxa"/>
            <w:vAlign w:val="bottom"/>
            <w:tcBorders>
              <w:bottom w:val="single" w:sz="8" w:color="EAEAEA"/>
            </w:tcBorders>
          </w:tcPr>
          <w:p>
            <w:pPr>
              <w:spacing w:after="0"/>
              <w:rPr>
                <w:sz w:val="23"/>
                <w:szCs w:val="23"/>
                <w:color w:val="auto"/>
              </w:rPr>
            </w:pPr>
          </w:p>
        </w:tc>
        <w:tc>
          <w:tcPr>
            <w:tcW w:w="5260" w:type="dxa"/>
            <w:vAlign w:val="bottom"/>
            <w:tcBorders>
              <w:bottom w:val="single" w:sz="8" w:color="EAEAEA"/>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99,240</w:t>
            </w:r>
          </w:p>
        </w:tc>
        <w:tc>
          <w:tcPr>
            <w:tcW w:w="20" w:type="dxa"/>
            <w:vAlign w:val="bottom"/>
            <w:tcBorders>
              <w:bottom w:val="single" w:sz="8" w:color="EAEAEA"/>
            </w:tcBorders>
          </w:tcPr>
          <w:p>
            <w:pPr>
              <w:spacing w:after="0"/>
              <w:rPr>
                <w:sz w:val="23"/>
                <w:szCs w:val="23"/>
                <w:color w:val="auto"/>
              </w:rPr>
            </w:pPr>
          </w:p>
        </w:tc>
        <w:tc>
          <w:tcPr>
            <w:tcW w:w="240" w:type="dxa"/>
            <w:vAlign w:val="bottom"/>
            <w:tcBorders>
              <w:bottom w:val="single" w:sz="8" w:color="EAEAEA"/>
            </w:tcBorders>
            <w:gridSpan w:val="2"/>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78,068</w:t>
            </w:r>
          </w:p>
        </w:tc>
        <w:tc>
          <w:tcPr>
            <w:tcW w:w="120" w:type="dxa"/>
            <w:vAlign w:val="bottom"/>
            <w:tcBorders>
              <w:bottom w:val="single" w:sz="8" w:color="EAEAEA"/>
            </w:tcBorders>
          </w:tcPr>
          <w:p>
            <w:pPr>
              <w:spacing w:after="0"/>
              <w:rPr>
                <w:sz w:val="23"/>
                <w:szCs w:val="23"/>
                <w:color w:val="auto"/>
              </w:rPr>
            </w:pPr>
          </w:p>
        </w:tc>
        <w:tc>
          <w:tcPr>
            <w:tcW w:w="140" w:type="dxa"/>
            <w:vAlign w:val="bottom"/>
            <w:tcBorders>
              <w:bottom w:val="single" w:sz="8" w:color="EAEAEA"/>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61,164</w:t>
            </w:r>
          </w:p>
        </w:tc>
        <w:tc>
          <w:tcPr>
            <w:tcW w:w="100" w:type="dxa"/>
            <w:vAlign w:val="bottom"/>
            <w:tcBorders>
              <w:bottom w:val="single" w:sz="8" w:color="EAEAEA"/>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0" w:type="dxa"/>
            <w:vAlign w:val="bottom"/>
            <w:tcBorders>
              <w:bottom w:val="single" w:sz="8" w:color="EAEAEA"/>
            </w:tcBorders>
            <w:shd w:val="clear" w:color="auto" w:fill="EAEAEA"/>
          </w:tcPr>
          <w:p>
            <w:pPr>
              <w:spacing w:after="0"/>
              <w:rPr>
                <w:sz w:val="16"/>
                <w:szCs w:val="16"/>
                <w:color w:val="auto"/>
              </w:rPr>
            </w:pPr>
          </w:p>
        </w:tc>
        <w:tc>
          <w:tcPr>
            <w:tcW w:w="840" w:type="dxa"/>
            <w:vAlign w:val="bottom"/>
            <w:tcBorders>
              <w:bottom w:val="single" w:sz="8" w:color="EAEAEA"/>
            </w:tcBorders>
            <w:gridSpan w:val="2"/>
            <w:shd w:val="clear" w:color="auto" w:fill="EAEAEA"/>
          </w:tcPr>
          <w:p>
            <w:pPr>
              <w:spacing w:after="0" w:line="175" w:lineRule="exact"/>
              <w:rPr>
                <w:sz w:val="20"/>
                <w:szCs w:val="20"/>
                <w:color w:val="auto"/>
              </w:rPr>
            </w:pPr>
            <w:r>
              <w:rPr>
                <w:rFonts w:ascii="Times New Roman" w:cs="Times New Roman" w:eastAsia="Times New Roman" w:hAnsi="Times New Roman"/>
                <w:sz w:val="20"/>
                <w:szCs w:val="20"/>
                <w:color w:val="auto"/>
                <w:w w:val="95"/>
                <w:shd w:val="clear" w:color="auto" w:fill="EAEAEA"/>
              </w:rPr>
              <w:t>U.S. State:</w:t>
            </w:r>
          </w:p>
        </w:tc>
        <w:tc>
          <w:tcPr>
            <w:tcW w:w="5260" w:type="dxa"/>
            <w:vAlign w:val="bottom"/>
            <w:tcBorders>
              <w:bottom w:val="single" w:sz="8" w:color="EAEAEA"/>
            </w:tcBorders>
            <w:shd w:val="clear" w:color="auto" w:fill="EAEAEA"/>
          </w:tcPr>
          <w:p>
            <w:pPr>
              <w:spacing w:after="0"/>
              <w:rPr>
                <w:sz w:val="16"/>
                <w:szCs w:val="16"/>
                <w:color w:val="auto"/>
              </w:rPr>
            </w:pPr>
          </w:p>
        </w:tc>
        <w:tc>
          <w:tcPr>
            <w:tcW w:w="280" w:type="dxa"/>
            <w:vAlign w:val="bottom"/>
            <w:tcBorders>
              <w:bottom w:val="single" w:sz="8" w:color="EAEAEA"/>
            </w:tcBorders>
            <w:shd w:val="clear" w:color="auto" w:fill="EAEAEA"/>
          </w:tcPr>
          <w:p>
            <w:pPr>
              <w:spacing w:after="0"/>
              <w:rPr>
                <w:sz w:val="16"/>
                <w:szCs w:val="16"/>
                <w:color w:val="auto"/>
              </w:rPr>
            </w:pPr>
          </w:p>
        </w:tc>
        <w:tc>
          <w:tcPr>
            <w:tcW w:w="48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4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16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680" w:type="dxa"/>
            <w:vAlign w:val="bottom"/>
            <w:tcBorders>
              <w:bottom w:val="single" w:sz="8" w:color="EAEAEA"/>
            </w:tcBorders>
            <w:shd w:val="clear" w:color="auto" w:fill="EAEAEA"/>
          </w:tcPr>
          <w:p>
            <w:pPr>
              <w:spacing w:after="0"/>
              <w:rPr>
                <w:sz w:val="16"/>
                <w:szCs w:val="16"/>
                <w:color w:val="auto"/>
              </w:rPr>
            </w:pPr>
          </w:p>
        </w:tc>
        <w:tc>
          <w:tcPr>
            <w:tcW w:w="18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left w:val="single" w:sz="8" w:color="EAEAEA"/>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300" w:type="dxa"/>
            <w:vAlign w:val="bottom"/>
            <w:tcBorders>
              <w:left w:val="single" w:sz="8" w:color="EAEAEA"/>
              <w:bottom w:val="single" w:sz="8" w:color="EAEAEA"/>
            </w:tcBorders>
            <w:shd w:val="clear" w:color="auto" w:fill="EAEAEA"/>
          </w:tcPr>
          <w:p>
            <w:pPr>
              <w:spacing w:after="0"/>
              <w:rPr>
                <w:sz w:val="16"/>
                <w:szCs w:val="16"/>
                <w:color w:val="auto"/>
              </w:rPr>
            </w:pPr>
          </w:p>
        </w:tc>
        <w:tc>
          <w:tcPr>
            <w:tcW w:w="48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44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left w:val="single" w:sz="8" w:color="EAEAEA"/>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Current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8,141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EAEAEA"/>
            </w:tcBorders>
            <w:shd w:val="clear" w:color="auto" w:fill="EAEAEA"/>
          </w:tcPr>
          <w:p>
            <w:pPr>
              <w:spacing w:after="0"/>
              <w:rPr>
                <w:sz w:val="18"/>
                <w:szCs w:val="18"/>
                <w:color w:val="auto"/>
              </w:rPr>
            </w:pPr>
          </w:p>
        </w:tc>
        <w:tc>
          <w:tcPr>
            <w:tcW w:w="6100" w:type="dxa"/>
            <w:vAlign w:val="bottom"/>
            <w:tcBorders>
              <w:bottom w:val="single" w:sz="8" w:color="EAEAEA"/>
            </w:tcBorders>
            <w:gridSpan w:val="3"/>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Deferred</w:t>
            </w:r>
          </w:p>
        </w:tc>
        <w:tc>
          <w:tcPr>
            <w:tcW w:w="280" w:type="dxa"/>
            <w:vAlign w:val="bottom"/>
            <w:tcBorders>
              <w:bottom w:val="single" w:sz="8" w:color="EAEAEA"/>
            </w:tcBorders>
            <w:shd w:val="clear" w:color="auto" w:fill="EAEAEA"/>
          </w:tcPr>
          <w:p>
            <w:pPr>
              <w:spacing w:after="0"/>
              <w:rPr>
                <w:sz w:val="18"/>
                <w:szCs w:val="18"/>
                <w:color w:val="auto"/>
              </w:rPr>
            </w:pPr>
          </w:p>
        </w:tc>
        <w:tc>
          <w:tcPr>
            <w:tcW w:w="48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4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8"/>
                <w:shd w:val="clear" w:color="auto" w:fill="EAEAEA"/>
              </w:rPr>
              <w:t>8,497</w:t>
            </w: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20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(10,160</w:t>
            </w:r>
          </w:p>
        </w:tc>
        <w:tc>
          <w:tcPr>
            <w:tcW w:w="120" w:type="dxa"/>
            <w:vAlign w:val="bottom"/>
            <w:tcBorders>
              <w:left w:val="single" w:sz="8" w:color="EAEAEA"/>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9"/>
                <w:shd w:val="clear" w:color="auto" w:fill="EAEAEA"/>
              </w:rPr>
              <w:t>)</w:t>
            </w:r>
          </w:p>
        </w:tc>
        <w:tc>
          <w:tcPr>
            <w:tcW w:w="14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left w:val="single" w:sz="8" w:color="EAEAEA"/>
              <w:bottom w:val="single" w:sz="8" w:color="EAEAEA"/>
            </w:tcBorders>
            <w:shd w:val="clear" w:color="auto" w:fill="EAEAEA"/>
          </w:tcPr>
          <w:p>
            <w:pPr>
              <w:spacing w:after="0"/>
              <w:rPr>
                <w:sz w:val="18"/>
                <w:szCs w:val="18"/>
                <w:color w:val="auto"/>
              </w:rPr>
            </w:pPr>
          </w:p>
        </w:tc>
        <w:tc>
          <w:tcPr>
            <w:tcW w:w="560" w:type="dxa"/>
            <w:vAlign w:val="bottom"/>
            <w:tcBorders>
              <w:bottom w:val="single" w:sz="8" w:color="EAEAEA"/>
            </w:tcBorders>
            <w:gridSpan w:val="2"/>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shd w:val="clear" w:color="auto" w:fill="EAEAEA"/>
              </w:rPr>
              <w:t>4,093</w:t>
            </w:r>
          </w:p>
        </w:tc>
        <w:tc>
          <w:tcPr>
            <w:tcW w:w="100" w:type="dxa"/>
            <w:vAlign w:val="bottom"/>
            <w:tcBorders>
              <w:left w:val="single" w:sz="8" w:color="EAEAEA"/>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16,638</w:t>
            </w:r>
          </w:p>
        </w:tc>
        <w:tc>
          <w:tcPr>
            <w:tcW w:w="2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(2,274)</w:t>
            </w:r>
          </w:p>
        </w:tc>
        <w:tc>
          <w:tcPr>
            <w:tcW w:w="140" w:type="dxa"/>
            <w:vAlign w:val="bottom"/>
          </w:tcPr>
          <w:p>
            <w:pPr>
              <w:spacing w:after="0"/>
              <w:rPr>
                <w:sz w:val="23"/>
                <w:szCs w:val="23"/>
                <w:color w:val="auto"/>
              </w:rPr>
            </w:pPr>
          </w:p>
        </w:tc>
        <w:tc>
          <w:tcPr>
            <w:tcW w:w="300" w:type="dxa"/>
            <w:vAlign w:val="bottom"/>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9,591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0" w:type="dxa"/>
            <w:vAlign w:val="bottom"/>
            <w:tcBorders>
              <w:top w:val="single" w:sz="8" w:color="EAEAEA"/>
            </w:tcBorders>
            <w:shd w:val="clear" w:color="auto" w:fill="EAEAEA"/>
          </w:tcPr>
          <w:p>
            <w:pPr>
              <w:spacing w:after="0"/>
              <w:rPr>
                <w:sz w:val="18"/>
                <w:szCs w:val="18"/>
                <w:color w:val="auto"/>
              </w:rPr>
            </w:pPr>
          </w:p>
        </w:tc>
        <w:tc>
          <w:tcPr>
            <w:tcW w:w="660" w:type="dxa"/>
            <w:vAlign w:val="bottom"/>
            <w:tcBorders>
              <w:top w:val="single" w:sz="8" w:color="EAEAEA"/>
            </w:tcBorders>
            <w:shd w:val="clear" w:color="auto" w:fill="EAEAEA"/>
          </w:tcPr>
          <w:p>
            <w:pPr>
              <w:spacing w:after="0" w:line="215" w:lineRule="exact"/>
              <w:rPr>
                <w:sz w:val="20"/>
                <w:szCs w:val="20"/>
                <w:color w:val="auto"/>
              </w:rPr>
            </w:pPr>
            <w:r>
              <w:rPr>
                <w:rFonts w:ascii="Times New Roman" w:cs="Times New Roman" w:eastAsia="Times New Roman" w:hAnsi="Times New Roman"/>
                <w:sz w:val="20"/>
                <w:szCs w:val="20"/>
                <w:color w:val="auto"/>
                <w:w w:val="94"/>
                <w:shd w:val="clear" w:color="auto" w:fill="EAEAEA"/>
              </w:rPr>
              <w:t>Foreign:</w:t>
            </w:r>
          </w:p>
        </w:tc>
        <w:tc>
          <w:tcPr>
            <w:tcW w:w="180" w:type="dxa"/>
            <w:vAlign w:val="bottom"/>
            <w:tcBorders>
              <w:top w:val="single" w:sz="8" w:color="EAEAEA"/>
            </w:tcBorders>
            <w:shd w:val="clear" w:color="auto" w:fill="EAEAEA"/>
          </w:tcPr>
          <w:p>
            <w:pPr>
              <w:spacing w:after="0"/>
              <w:rPr>
                <w:sz w:val="18"/>
                <w:szCs w:val="18"/>
                <w:color w:val="auto"/>
              </w:rPr>
            </w:pPr>
          </w:p>
        </w:tc>
        <w:tc>
          <w:tcPr>
            <w:tcW w:w="5260" w:type="dxa"/>
            <w:vAlign w:val="bottom"/>
            <w:tcBorders>
              <w:top w:val="single" w:sz="8" w:color="EAEAEA"/>
            </w:tcBorders>
            <w:shd w:val="clear" w:color="auto" w:fill="EAEAEA"/>
          </w:tcPr>
          <w:p>
            <w:pPr>
              <w:spacing w:after="0"/>
              <w:rPr>
                <w:sz w:val="18"/>
                <w:szCs w:val="18"/>
                <w:color w:val="auto"/>
              </w:rPr>
            </w:pPr>
          </w:p>
        </w:tc>
        <w:tc>
          <w:tcPr>
            <w:tcW w:w="280" w:type="dxa"/>
            <w:vAlign w:val="bottom"/>
            <w:tcBorders>
              <w:top w:val="single" w:sz="8" w:color="auto"/>
            </w:tcBorders>
            <w:shd w:val="clear" w:color="auto" w:fill="EAEAEA"/>
          </w:tcPr>
          <w:p>
            <w:pPr>
              <w:spacing w:after="0"/>
              <w:rPr>
                <w:sz w:val="18"/>
                <w:szCs w:val="18"/>
                <w:color w:val="auto"/>
              </w:rPr>
            </w:pPr>
          </w:p>
        </w:tc>
        <w:tc>
          <w:tcPr>
            <w:tcW w:w="480" w:type="dxa"/>
            <w:vAlign w:val="bottom"/>
            <w:tcBorders>
              <w:top w:val="single" w:sz="8" w:color="auto"/>
            </w:tcBorders>
            <w:shd w:val="clear" w:color="auto" w:fill="EAEAEA"/>
          </w:tcPr>
          <w:p>
            <w:pPr>
              <w:spacing w:after="0"/>
              <w:rPr>
                <w:sz w:val="18"/>
                <w:szCs w:val="18"/>
                <w:color w:val="auto"/>
              </w:rPr>
            </w:pPr>
          </w:p>
        </w:tc>
        <w:tc>
          <w:tcPr>
            <w:tcW w:w="100" w:type="dxa"/>
            <w:vAlign w:val="bottom"/>
            <w:tcBorders>
              <w:top w:val="single" w:sz="8" w:color="auto"/>
            </w:tcBorders>
            <w:shd w:val="clear" w:color="auto" w:fill="EAEAEA"/>
          </w:tcPr>
          <w:p>
            <w:pPr>
              <w:spacing w:after="0"/>
              <w:rPr>
                <w:sz w:val="18"/>
                <w:szCs w:val="18"/>
                <w:color w:val="auto"/>
              </w:rPr>
            </w:pPr>
          </w:p>
        </w:tc>
        <w:tc>
          <w:tcPr>
            <w:tcW w:w="4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auto"/>
            </w:tcBorders>
            <w:shd w:val="clear" w:color="auto" w:fill="EAEAEA"/>
          </w:tcPr>
          <w:p>
            <w:pPr>
              <w:spacing w:after="0"/>
              <w:rPr>
                <w:sz w:val="18"/>
                <w:szCs w:val="18"/>
                <w:color w:val="auto"/>
              </w:rPr>
            </w:pPr>
          </w:p>
        </w:tc>
        <w:tc>
          <w:tcPr>
            <w:tcW w:w="680" w:type="dxa"/>
            <w:vAlign w:val="bottom"/>
            <w:tcBorders>
              <w:top w:val="single" w:sz="8" w:color="auto"/>
            </w:tcBorders>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340" w:type="dxa"/>
            <w:vAlign w:val="bottom"/>
            <w:tcBorders>
              <w:top w:val="single" w:sz="8" w:color="auto"/>
            </w:tcBorders>
            <w:shd w:val="clear" w:color="auto" w:fill="EAEAEA"/>
          </w:tcPr>
          <w:p>
            <w:pPr>
              <w:spacing w:after="0"/>
              <w:rPr>
                <w:sz w:val="18"/>
                <w:szCs w:val="18"/>
                <w:color w:val="auto"/>
              </w:rPr>
            </w:pPr>
          </w:p>
        </w:tc>
        <w:tc>
          <w:tcPr>
            <w:tcW w:w="120" w:type="dxa"/>
            <w:vAlign w:val="bottom"/>
            <w:tcBorders>
              <w:top w:val="single" w:sz="8" w:color="EAEAEA"/>
              <w:left w:val="single" w:sz="8" w:color="EAEAEA"/>
            </w:tcBorders>
            <w:shd w:val="clear" w:color="auto" w:fill="EAEAEA"/>
          </w:tcPr>
          <w:p>
            <w:pPr>
              <w:spacing w:after="0"/>
              <w:rPr>
                <w:sz w:val="18"/>
                <w:szCs w:val="18"/>
                <w:color w:val="auto"/>
              </w:rPr>
            </w:pPr>
          </w:p>
        </w:tc>
        <w:tc>
          <w:tcPr>
            <w:tcW w:w="140" w:type="dxa"/>
            <w:vAlign w:val="bottom"/>
            <w:tcBorders>
              <w:top w:val="single" w:sz="8" w:color="EAEAEA"/>
            </w:tcBorders>
            <w:shd w:val="clear" w:color="auto" w:fill="EAEAEA"/>
          </w:tcPr>
          <w:p>
            <w:pPr>
              <w:spacing w:after="0"/>
              <w:rPr>
                <w:sz w:val="18"/>
                <w:szCs w:val="18"/>
                <w:color w:val="auto"/>
              </w:rPr>
            </w:pPr>
          </w:p>
        </w:tc>
        <w:tc>
          <w:tcPr>
            <w:tcW w:w="300" w:type="dxa"/>
            <w:vAlign w:val="bottom"/>
            <w:tcBorders>
              <w:top w:val="single" w:sz="8" w:color="auto"/>
              <w:left w:val="single" w:sz="8" w:color="EAEAEA"/>
            </w:tcBorders>
            <w:shd w:val="clear" w:color="auto" w:fill="EAEAEA"/>
          </w:tcPr>
          <w:p>
            <w:pPr>
              <w:spacing w:after="0"/>
              <w:rPr>
                <w:sz w:val="18"/>
                <w:szCs w:val="18"/>
                <w:color w:val="auto"/>
              </w:rPr>
            </w:pPr>
          </w:p>
        </w:tc>
        <w:tc>
          <w:tcPr>
            <w:tcW w:w="480" w:type="dxa"/>
            <w:vAlign w:val="bottom"/>
            <w:tcBorders>
              <w:top w:val="single" w:sz="8" w:color="auto"/>
            </w:tcBorders>
            <w:shd w:val="clear" w:color="auto" w:fill="EAEAEA"/>
          </w:tcPr>
          <w:p>
            <w:pPr>
              <w:spacing w:after="0"/>
              <w:rPr>
                <w:sz w:val="18"/>
                <w:szCs w:val="18"/>
                <w:color w:val="auto"/>
              </w:rPr>
            </w:pPr>
          </w:p>
        </w:tc>
        <w:tc>
          <w:tcPr>
            <w:tcW w:w="80" w:type="dxa"/>
            <w:vAlign w:val="bottom"/>
            <w:tcBorders>
              <w:top w:val="single" w:sz="8" w:color="auto"/>
            </w:tcBorders>
            <w:shd w:val="clear" w:color="auto" w:fill="EAEAEA"/>
          </w:tcPr>
          <w:p>
            <w:pPr>
              <w:spacing w:after="0"/>
              <w:rPr>
                <w:sz w:val="18"/>
                <w:szCs w:val="18"/>
                <w:color w:val="auto"/>
              </w:rPr>
            </w:pPr>
          </w:p>
        </w:tc>
        <w:tc>
          <w:tcPr>
            <w:tcW w:w="440" w:type="dxa"/>
            <w:vAlign w:val="bottom"/>
            <w:tcBorders>
              <w:top w:val="single" w:sz="8" w:color="auto"/>
            </w:tcBorders>
            <w:shd w:val="clear" w:color="auto" w:fill="EAEAEA"/>
          </w:tcPr>
          <w:p>
            <w:pPr>
              <w:spacing w:after="0"/>
              <w:rPr>
                <w:sz w:val="18"/>
                <w:szCs w:val="18"/>
                <w:color w:val="auto"/>
              </w:rPr>
            </w:pPr>
          </w:p>
        </w:tc>
        <w:tc>
          <w:tcPr>
            <w:tcW w:w="100" w:type="dxa"/>
            <w:vAlign w:val="bottom"/>
            <w:tcBorders>
              <w:top w:val="single" w:sz="8" w:color="EAEAEA"/>
              <w:left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bottom w:val="single" w:sz="8" w:color="EAEAEA"/>
            </w:tcBorders>
          </w:tcPr>
          <w:p>
            <w:pPr>
              <w:spacing w:after="0"/>
              <w:rPr>
                <w:sz w:val="20"/>
                <w:szCs w:val="20"/>
                <w:color w:val="auto"/>
              </w:rPr>
            </w:pPr>
          </w:p>
        </w:tc>
        <w:tc>
          <w:tcPr>
            <w:tcW w:w="6100" w:type="dxa"/>
            <w:vAlign w:val="bottom"/>
            <w:tcBorders>
              <w:bottom w:val="single" w:sz="8" w:color="EAEAEA"/>
            </w:tcBorders>
            <w:gridSpan w:val="3"/>
          </w:tcPr>
          <w:p>
            <w:pPr>
              <w:ind w:left="200"/>
              <w:spacing w:after="0"/>
              <w:rPr>
                <w:sz w:val="20"/>
                <w:szCs w:val="20"/>
                <w:color w:val="auto"/>
              </w:rPr>
            </w:pPr>
            <w:r>
              <w:rPr>
                <w:rFonts w:ascii="Times New Roman" w:cs="Times New Roman" w:eastAsia="Times New Roman" w:hAnsi="Times New Roman"/>
                <w:sz w:val="20"/>
                <w:szCs w:val="20"/>
                <w:color w:val="auto"/>
              </w:rPr>
              <w:t>Current</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80" w:type="dxa"/>
            <w:vAlign w:val="bottom"/>
            <w:tcBorders>
              <w:bottom w:val="single" w:sz="8" w:color="EAEAEA"/>
            </w:tcBorders>
          </w:tcPr>
          <w:p>
            <w:pPr>
              <w:spacing w:after="0"/>
              <w:rPr>
                <w:sz w:val="20"/>
                <w:szCs w:val="20"/>
                <w:color w:val="auto"/>
              </w:rPr>
            </w:pPr>
          </w:p>
        </w:tc>
        <w:tc>
          <w:tcPr>
            <w:tcW w:w="160" w:type="dxa"/>
            <w:vAlign w:val="bottom"/>
            <w:tcBorders>
              <w:bottom w:val="single" w:sz="8" w:color="EAEAEA"/>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20" w:type="dxa"/>
            <w:vAlign w:val="bottom"/>
            <w:tcBorders>
              <w:bottom w:val="single" w:sz="8" w:color="EAEAEA"/>
            </w:tcBorders>
          </w:tcPr>
          <w:p>
            <w:pPr>
              <w:spacing w:after="0"/>
              <w:rPr>
                <w:sz w:val="20"/>
                <w:szCs w:val="20"/>
                <w:color w:val="auto"/>
              </w:rPr>
            </w:pPr>
          </w:p>
        </w:tc>
        <w:tc>
          <w:tcPr>
            <w:tcW w:w="140" w:type="dxa"/>
            <w:vAlign w:val="bottom"/>
            <w:tcBorders>
              <w:bottom w:val="single" w:sz="8" w:color="EAEAEA"/>
            </w:tcBorders>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10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Borders>
              <w:bottom w:val="single" w:sz="8" w:color="EAEAEA"/>
            </w:tcBorders>
            <w:shd w:val="clear" w:color="auto" w:fill="EAEAEA"/>
          </w:tcPr>
          <w:p>
            <w:pPr>
              <w:spacing w:after="0"/>
              <w:rPr>
                <w:sz w:val="19"/>
                <w:szCs w:val="19"/>
                <w:color w:val="auto"/>
              </w:rPr>
            </w:pPr>
          </w:p>
        </w:tc>
        <w:tc>
          <w:tcPr>
            <w:tcW w:w="66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526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ind w:right="115"/>
              <w:spacing w:after="0" w:line="184"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8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119</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68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73</w:t>
            </w:r>
          </w:p>
        </w:tc>
        <w:tc>
          <w:tcPr>
            <w:tcW w:w="120" w:type="dxa"/>
            <w:vAlign w:val="bottom"/>
            <w:tcBorders>
              <w:left w:val="single" w:sz="8" w:color="EAEAEA"/>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left w:val="single" w:sz="8" w:color="EAEAEA"/>
              <w:bottom w:val="single" w:sz="8" w:color="EAEAEA"/>
            </w:tcBorders>
            <w:shd w:val="clear" w:color="auto" w:fill="EAEAEA"/>
          </w:tcPr>
          <w:p>
            <w:pPr>
              <w:jc w:val="right"/>
              <w:ind w:right="100"/>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560" w:type="dxa"/>
            <w:vAlign w:val="bottom"/>
            <w:tcBorders>
              <w:bottom w:val="single" w:sz="8" w:color="EAEAEA"/>
            </w:tcBorders>
            <w:gridSpan w:val="2"/>
            <w:shd w:val="clear" w:color="auto" w:fill="EAEAEA"/>
          </w:tcPr>
          <w:p>
            <w:pPr>
              <w:spacing w:after="0"/>
              <w:rPr>
                <w:sz w:val="19"/>
                <w:szCs w:val="19"/>
                <w:color w:val="auto"/>
              </w:rPr>
            </w:pPr>
          </w:p>
        </w:tc>
        <w:tc>
          <w:tcPr>
            <w:tcW w:w="44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465</w:t>
            </w:r>
          </w:p>
        </w:tc>
        <w:tc>
          <w:tcPr>
            <w:tcW w:w="100" w:type="dxa"/>
            <w:vAlign w:val="bottom"/>
            <w:tcBorders>
              <w:left w:val="single" w:sz="8" w:color="EAEAEA"/>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Consolidated: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vMerge w:val="continue"/>
          </w:tcPr>
          <w:p>
            <w:pPr>
              <w:spacing w:after="0"/>
              <w:rPr>
                <w:sz w:val="18"/>
                <w:szCs w:val="18"/>
                <w:color w:val="auto"/>
              </w:rPr>
            </w:pPr>
          </w:p>
        </w:tc>
        <w:tc>
          <w:tcPr>
            <w:tcW w:w="61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EAEAEA"/>
            </w:tcBorders>
            <w:gridSpan w:val="2"/>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Current</w:t>
            </w:r>
          </w:p>
        </w:tc>
        <w:tc>
          <w:tcPr>
            <w:tcW w:w="5260" w:type="dxa"/>
            <w:vAlign w:val="bottom"/>
            <w:tcBorders>
              <w:bottom w:val="single" w:sz="8" w:color="EAEAEA"/>
            </w:tcBorders>
            <w:shd w:val="clear" w:color="auto" w:fill="EAEAEA"/>
          </w:tcPr>
          <w:p>
            <w:pPr>
              <w:spacing w:after="0"/>
              <w:rPr>
                <w:sz w:val="18"/>
                <w:szCs w:val="18"/>
                <w:color w:val="auto"/>
              </w:rPr>
            </w:pPr>
          </w:p>
        </w:tc>
        <w:tc>
          <w:tcPr>
            <w:tcW w:w="280" w:type="dxa"/>
            <w:vAlign w:val="bottom"/>
            <w:tcBorders>
              <w:bottom w:val="single" w:sz="8" w:color="EAEAEA"/>
            </w:tcBorders>
            <w:shd w:val="clear" w:color="auto" w:fill="EAEAEA"/>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0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33,542</w:t>
            </w:r>
          </w:p>
        </w:tc>
        <w:tc>
          <w:tcPr>
            <w:tcW w:w="20" w:type="dxa"/>
            <w:vAlign w:val="bottom"/>
            <w:tcBorders>
              <w:bottom w:val="single" w:sz="8" w:color="EAEAEA"/>
            </w:tcBorders>
            <w:shd w:val="clear" w:color="auto" w:fill="EAEAEA"/>
          </w:tcPr>
          <w:p>
            <w:pPr>
              <w:spacing w:after="0"/>
              <w:rPr>
                <w:sz w:val="18"/>
                <w:szCs w:val="18"/>
                <w:color w:val="auto"/>
              </w:rPr>
            </w:pPr>
          </w:p>
        </w:tc>
        <w:tc>
          <w:tcPr>
            <w:tcW w:w="260" w:type="dxa"/>
            <w:vAlign w:val="bottom"/>
            <w:tcBorders>
              <w:bottom w:val="single" w:sz="8" w:color="EAEAEA"/>
            </w:tcBorders>
            <w:gridSpan w:val="3"/>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44,479</w:t>
            </w:r>
          </w:p>
        </w:tc>
        <w:tc>
          <w:tcPr>
            <w:tcW w:w="120" w:type="dxa"/>
            <w:vAlign w:val="bottom"/>
            <w:tcBorders>
              <w:left w:val="single" w:sz="8" w:color="EAEAEA"/>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left w:val="single" w:sz="8" w:color="EAEAEA"/>
              <w:bottom w:val="single" w:sz="8" w:color="EAEAEA"/>
            </w:tcBorders>
            <w:shd w:val="clear" w:color="auto" w:fill="EAEAEA"/>
          </w:tcPr>
          <w:p>
            <w:pPr>
              <w:jc w:val="right"/>
              <w:ind w:right="100"/>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560" w:type="dxa"/>
            <w:vAlign w:val="bottom"/>
            <w:tcBorders>
              <w:bottom w:val="single" w:sz="8" w:color="EAEAEA"/>
            </w:tcBorders>
            <w:gridSpan w:val="2"/>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shd w:val="clear" w:color="auto" w:fill="EAEAEA"/>
              </w:rPr>
              <w:t>5,922</w:t>
            </w:r>
          </w:p>
        </w:tc>
        <w:tc>
          <w:tcPr>
            <w:tcW w:w="100" w:type="dxa"/>
            <w:vAlign w:val="bottom"/>
            <w:tcBorders>
              <w:left w:val="single" w:sz="8" w:color="EAEAEA"/>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6100" w:type="dxa"/>
            <w:vAlign w:val="bottom"/>
            <w:gridSpan w:val="3"/>
            <w:vMerge w:val="restart"/>
          </w:tcPr>
          <w:p>
            <w:pPr>
              <w:ind w:left="200"/>
              <w:spacing w:after="0" w:line="220" w:lineRule="exact"/>
              <w:rPr>
                <w:sz w:val="20"/>
                <w:szCs w:val="20"/>
                <w:color w:val="auto"/>
              </w:rPr>
            </w:pPr>
            <w:r>
              <w:rPr>
                <w:rFonts w:ascii="Times New Roman" w:cs="Times New Roman" w:eastAsia="Times New Roman" w:hAnsi="Times New Roman"/>
                <w:sz w:val="20"/>
                <w:szCs w:val="20"/>
                <w:color w:val="auto"/>
              </w:rPr>
              <w:t>Deferred</w:t>
            </w:r>
          </w:p>
        </w:tc>
        <w:tc>
          <w:tcPr>
            <w:tcW w:w="280" w:type="dxa"/>
            <w:vAlign w:val="bottom"/>
          </w:tcPr>
          <w:p>
            <w:pPr>
              <w:spacing w:after="0"/>
              <w:rPr>
                <w:sz w:val="4"/>
                <w:szCs w:val="4"/>
                <w:color w:val="auto"/>
              </w:rPr>
            </w:pPr>
          </w:p>
        </w:tc>
        <w:tc>
          <w:tcPr>
            <w:tcW w:w="480" w:type="dxa"/>
            <w:vAlign w:val="bottom"/>
            <w:vMerge w:val="restart"/>
          </w:tcPr>
          <w:p>
            <w:pPr>
              <w:spacing w:after="0"/>
              <w:rPr>
                <w:sz w:val="4"/>
                <w:szCs w:val="4"/>
                <w:color w:val="auto"/>
              </w:rPr>
            </w:pPr>
          </w:p>
        </w:tc>
        <w:tc>
          <w:tcPr>
            <w:tcW w:w="5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spacing w:after="0"/>
              <w:rPr>
                <w:sz w:val="4"/>
                <w:szCs w:val="4"/>
                <w:color w:val="auto"/>
              </w:rPr>
            </w:pPr>
          </w:p>
        </w:tc>
        <w:tc>
          <w:tcPr>
            <w:tcW w:w="5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vMerge w:val="restart"/>
          </w:tcPr>
          <w:p>
            <w:pPr>
              <w:spacing w:after="0"/>
              <w:rPr>
                <w:sz w:val="4"/>
                <w:szCs w:val="4"/>
                <w:color w:val="auto"/>
              </w:rPr>
            </w:pPr>
          </w:p>
        </w:tc>
        <w:tc>
          <w:tcPr>
            <w:tcW w:w="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1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5"/>
              </w:rPr>
              <w:t>82,455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5"/>
              </w:rPr>
              <w:t>31,388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5"/>
              </w:rPr>
              <w:t>65,298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66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EAEAEA"/>
            </w:tcBorders>
          </w:tcPr>
          <w:p>
            <w:pPr>
              <w:spacing w:after="0" w:line="20" w:lineRule="exact"/>
              <w:rPr>
                <w:sz w:val="1"/>
                <w:szCs w:val="1"/>
                <w:color w:val="auto"/>
              </w:rPr>
            </w:pPr>
          </w:p>
        </w:tc>
        <w:tc>
          <w:tcPr>
            <w:tcW w:w="5260" w:type="dxa"/>
            <w:vAlign w:val="bottom"/>
            <w:tcBorders>
              <w:bottom w:val="single" w:sz="8" w:color="EAEAEA"/>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Borders>
              <w:bottom w:val="single" w:sz="8" w:color="EAEAEA"/>
            </w:tcBorders>
            <w:shd w:val="clear" w:color="auto" w:fill="EAEAEA"/>
          </w:tcPr>
          <w:p>
            <w:pPr>
              <w:spacing w:after="0"/>
              <w:rPr>
                <w:sz w:val="18"/>
                <w:szCs w:val="18"/>
                <w:color w:val="auto"/>
              </w:rPr>
            </w:pPr>
          </w:p>
        </w:tc>
        <w:tc>
          <w:tcPr>
            <w:tcW w:w="66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5260" w:type="dxa"/>
            <w:vAlign w:val="bottom"/>
            <w:tcBorders>
              <w:bottom w:val="single" w:sz="8" w:color="EAEAEA"/>
            </w:tcBorders>
            <w:shd w:val="clear" w:color="auto" w:fill="EAEAEA"/>
          </w:tcPr>
          <w:p>
            <w:pPr>
              <w:spacing w:after="0"/>
              <w:rPr>
                <w:sz w:val="18"/>
                <w:szCs w:val="18"/>
                <w:color w:val="auto"/>
              </w:rPr>
            </w:pPr>
          </w:p>
        </w:tc>
        <w:tc>
          <w:tcPr>
            <w:tcW w:w="280" w:type="dxa"/>
            <w:vAlign w:val="bottom"/>
            <w:tcBorders>
              <w:bottom w:val="single" w:sz="8" w:color="EAEAEA"/>
            </w:tcBorders>
            <w:shd w:val="clear" w:color="auto" w:fill="EAEAEA"/>
          </w:tcPr>
          <w:p>
            <w:pPr>
              <w:jc w:val="right"/>
              <w:ind w:right="115"/>
              <w:spacing w:after="0" w:line="187"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0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115,997</w:t>
            </w: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75,867</w:t>
            </w:r>
          </w:p>
        </w:tc>
        <w:tc>
          <w:tcPr>
            <w:tcW w:w="120" w:type="dxa"/>
            <w:vAlign w:val="bottom"/>
            <w:tcBorders>
              <w:left w:val="single" w:sz="8" w:color="EAEAEA"/>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left w:val="single" w:sz="8" w:color="EAEAEA"/>
              <w:bottom w:val="single" w:sz="8" w:color="EAEAEA"/>
            </w:tcBorders>
            <w:shd w:val="clear" w:color="auto" w:fill="EAEAEA"/>
          </w:tcPr>
          <w:p>
            <w:pPr>
              <w:jc w:val="right"/>
              <w:ind w:right="100"/>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0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71,220</w:t>
            </w:r>
          </w:p>
        </w:tc>
        <w:tc>
          <w:tcPr>
            <w:tcW w:w="100" w:type="dxa"/>
            <w:vAlign w:val="bottom"/>
            <w:tcBorders>
              <w:left w:val="single" w:sz="8" w:color="EAEAEA"/>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-3405505</wp:posOffset>
            </wp:positionV>
            <wp:extent cx="2834640"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9">
                      <a:extLst>
                        <a:ext uri="{28A0092B-C50C-407E-A947-70E740481C1C}"/>
                      </a:extLst>
                    </a:blip>
                    <a:srcRect/>
                    <a:stretch>
                      <a:fillRect/>
                    </a:stretch>
                  </pic:blipFill>
                  <pic:spPr bwMode="auto">
                    <a:xfrm>
                      <a:off x="0" y="0"/>
                      <a:ext cx="2834640" cy="3492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-2647315</wp:posOffset>
            </wp:positionV>
            <wp:extent cx="77216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0">
                      <a:extLst>
                        <a:ext uri="{28A0092B-C50C-407E-A947-70E740481C1C}"/>
                      </a:extLst>
                    </a:blip>
                    <a:srcRect/>
                    <a:stretch>
                      <a:fillRect/>
                    </a:stretch>
                  </pic:blipFill>
                  <pic:spPr bwMode="auto">
                    <a:xfrm>
                      <a:off x="0" y="0"/>
                      <a:ext cx="772160" cy="2540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-1732915</wp:posOffset>
            </wp:positionV>
            <wp:extent cx="77216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1">
                      <a:extLst>
                        <a:ext uri="{28A0092B-C50C-407E-A947-70E740481C1C}"/>
                      </a:extLst>
                    </a:blip>
                    <a:srcRect/>
                    <a:stretch>
                      <a:fillRect/>
                    </a:stretch>
                  </pic:blipFill>
                  <pic:spPr bwMode="auto">
                    <a:xfrm>
                      <a:off x="0" y="0"/>
                      <a:ext cx="772160" cy="2540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-1110615</wp:posOffset>
            </wp:positionV>
            <wp:extent cx="77216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2">
                      <a:extLst>
                        <a:ext uri="{28A0092B-C50C-407E-A947-70E740481C1C}"/>
                      </a:extLst>
                    </a:blip>
                    <a:srcRect/>
                    <a:stretch>
                      <a:fillRect/>
                    </a:stretch>
                  </pic:blipFill>
                  <pic:spPr bwMode="auto">
                    <a:xfrm>
                      <a:off x="0" y="0"/>
                      <a:ext cx="772160" cy="2540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-634365</wp:posOffset>
            </wp:positionV>
            <wp:extent cx="77216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3">
                      <a:extLst>
                        <a:ext uri="{28A0092B-C50C-407E-A947-70E740481C1C}"/>
                      </a:extLst>
                    </a:blip>
                    <a:srcRect/>
                    <a:stretch>
                      <a:fillRect/>
                    </a:stretch>
                  </pic:blipFill>
                  <pic:spPr bwMode="auto">
                    <a:xfrm>
                      <a:off x="0" y="0"/>
                      <a:ext cx="772160" cy="25400"/>
                    </a:xfrm>
                    <a:prstGeom prst="rect">
                      <a:avLst/>
                    </a:prstGeom>
                    <a:noFill/>
                  </pic:spPr>
                </pic:pic>
              </a:graphicData>
            </a:graphic>
          </wp:anchor>
        </w:drawing>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April 2023, the Company received a federal income tax refund of $70.4 million plus accrued interest.</w:t>
      </w:r>
    </w:p>
    <w:p>
      <w:pPr>
        <w:spacing w:after="0" w:line="20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Tax reform legislation in Louisiana was signed in December 2024 that included reducing the corporate income tax rate from 7.5% to 5.5% effective January 1, 2025. As a result of the new legislation, the Company recognized a one-time deferred tax benefit of $10.9 million in the 2024 fourth quarter due to the remeasurement of the Company’s Louisiana and U.S. deferred tax assets and liabiliti based on the new effective Louisiana state income tax rate.</w:t>
      </w:r>
    </w:p>
    <w:p>
      <w:pPr>
        <w:spacing w:after="0" w:line="15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The legislation included several significant U.S. income tax provisions that helped reduce the Company’s U.S. federal cash tax payments in 2025. These provisions include 100% bonus tax depreciation and domestic research and development cost expensing.</w:t>
      </w: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929" w:right="720" w:bottom="176"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color w:val="auto"/>
        </w:rPr>
        <w:t>The Company’s provision (benefit) for taxes on income varied from the statutory federal income tax rate due to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780" w:type="dxa"/>
            <w:vAlign w:val="bottom"/>
            <w:gridSpan w:val="7"/>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1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9"/>
        </w:trPr>
        <w:tc>
          <w:tcPr>
            <w:tcW w:w="3960" w:type="dxa"/>
            <w:vAlign w:val="bottom"/>
            <w:tcBorders>
              <w:top w:val="single" w:sz="8" w:color="EAEAEA"/>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United States income tax statutory rate</w:t>
            </w:r>
          </w:p>
        </w:tc>
        <w:tc>
          <w:tcPr>
            <w:tcW w:w="14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78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99,014</w:t>
            </w: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82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21.0</w:t>
            </w:r>
          </w:p>
        </w:tc>
        <w:tc>
          <w:tcPr>
            <w:tcW w:w="16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top w:val="single" w:sz="8" w:color="EAEAEA"/>
              <w:bottom w:val="single" w:sz="8" w:color="EAEAEA"/>
            </w:tcBorders>
            <w:shd w:val="clear" w:color="auto" w:fill="EAEAEA"/>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10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0" w:type="dxa"/>
            <w:vAlign w:val="bottom"/>
            <w:tcBorders>
              <w:top w:val="single" w:sz="8" w:color="auto"/>
              <w:bottom w:val="single" w:sz="8" w:color="EAEAEA"/>
            </w:tcBorders>
            <w:shd w:val="clear" w:color="auto" w:fill="EAEAEA"/>
          </w:tcPr>
          <w:p>
            <w:pPr>
              <w:spacing w:after="0"/>
              <w:rPr>
                <w:sz w:val="19"/>
                <w:szCs w:val="19"/>
                <w:color w:val="auto"/>
              </w:rPr>
            </w:pPr>
          </w:p>
        </w:tc>
        <w:tc>
          <w:tcPr>
            <w:tcW w:w="760" w:type="dxa"/>
            <w:vAlign w:val="bottom"/>
            <w:tcBorders>
              <w:top w:val="single" w:sz="8" w:color="auto"/>
              <w:bottom w:val="single" w:sz="8" w:color="EAEAEA"/>
            </w:tcBorders>
            <w:gridSpan w:val="2"/>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76,182</w:t>
            </w:r>
          </w:p>
        </w:tc>
        <w:tc>
          <w:tcPr>
            <w:tcW w:w="20" w:type="dxa"/>
            <w:vAlign w:val="bottom"/>
            <w:tcBorders>
              <w:top w:val="single" w:sz="8" w:color="auto"/>
              <w:bottom w:val="single" w:sz="8" w:color="EAEAEA"/>
            </w:tcBorders>
            <w:shd w:val="clear" w:color="auto" w:fill="EAEAEA"/>
          </w:tcPr>
          <w:p>
            <w:pPr>
              <w:spacing w:after="0"/>
              <w:rPr>
                <w:sz w:val="19"/>
                <w:szCs w:val="19"/>
                <w:color w:val="auto"/>
              </w:rPr>
            </w:pP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820" w:type="dxa"/>
            <w:vAlign w:val="bottom"/>
            <w:tcBorders>
              <w:top w:val="single" w:sz="8" w:color="auto"/>
              <w:bottom w:val="single" w:sz="8" w:color="EAEAEA"/>
            </w:tcBorders>
            <w:gridSpan w:val="2"/>
            <w:shd w:val="clear" w:color="auto" w:fill="EAEAEA"/>
          </w:tcPr>
          <w:p>
            <w:pPr>
              <w:jc w:val="right"/>
              <w:ind w:right="20"/>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21.0</w:t>
            </w:r>
          </w:p>
        </w:tc>
        <w:tc>
          <w:tcPr>
            <w:tcW w:w="16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top w:val="single" w:sz="8" w:color="EAEAEA"/>
              <w:bottom w:val="single" w:sz="8" w:color="EAEAEA"/>
            </w:tcBorders>
            <w:shd w:val="clear" w:color="auto" w:fill="EAEAEA"/>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78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61,783</w:t>
            </w:r>
          </w:p>
        </w:tc>
        <w:tc>
          <w:tcPr>
            <w:tcW w:w="100" w:type="dxa"/>
            <w:vAlign w:val="bottom"/>
            <w:tcBorders>
              <w:top w:val="single" w:sz="8" w:color="EAEAEA"/>
              <w:bottom w:val="single" w:sz="8" w:color="EAEAEA"/>
            </w:tcBorders>
            <w:shd w:val="clear" w:color="auto" w:fill="EAEAEA"/>
          </w:tcPr>
          <w:p>
            <w:pPr>
              <w:spacing w:after="0"/>
              <w:rPr>
                <w:sz w:val="19"/>
                <w:szCs w:val="19"/>
                <w:color w:val="auto"/>
              </w:rPr>
            </w:pP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820" w:type="dxa"/>
            <w:vAlign w:val="bottom"/>
            <w:tcBorders>
              <w:top w:val="single" w:sz="8" w:color="auto"/>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21.0</w:t>
            </w:r>
          </w:p>
        </w:tc>
        <w:tc>
          <w:tcPr>
            <w:tcW w:w="160" w:type="dxa"/>
            <w:vAlign w:val="bottom"/>
            <w:tcBorders>
              <w:top w:val="single" w:sz="8" w:color="EAEAEA"/>
              <w:bottom w:val="single" w:sz="8" w:color="EAEAEA"/>
            </w:tcBorders>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top w:val="single" w:sz="8" w:color="EAEAEA"/>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State and local taxes, net of federal income tax</w:t>
            </w:r>
          </w:p>
        </w:tc>
        <w:tc>
          <w:tcPr>
            <w:tcW w:w="1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effect (a)</w:t>
            </w:r>
          </w:p>
        </w:tc>
        <w:tc>
          <w:tcPr>
            <w:tcW w:w="1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(2,078)</w:t>
            </w: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(0.6 )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60" w:type="dxa"/>
            <w:vAlign w:val="bottom"/>
            <w:tcBorders>
              <w:bottom w:val="single" w:sz="8" w:color="EAEAEA"/>
            </w:tcBorders>
            <w:shd w:val="clear" w:color="auto" w:fill="EAEAEA"/>
          </w:tcPr>
          <w:p>
            <w:pPr>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Foreign taxes</w:t>
            </w:r>
          </w:p>
        </w:tc>
        <w:tc>
          <w:tcPr>
            <w:tcW w:w="14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119</w:t>
            </w: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42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73</w:t>
            </w:r>
          </w:p>
        </w:tc>
        <w:tc>
          <w:tcPr>
            <w:tcW w:w="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7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465</w:t>
            </w: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EAEAEA"/>
              </w:rPr>
              <w:t>0.2</w:t>
            </w: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(495 )</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(2,080)</w:t>
            </w: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(2,161)</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60" w:type="dxa"/>
            <w:vAlign w:val="bottom"/>
            <w:tcBorders>
              <w:bottom w:val="single" w:sz="8" w:color="EAEAEA"/>
            </w:tcBorders>
            <w:shd w:val="clear" w:color="auto" w:fill="EAEAEA"/>
          </w:tcPr>
          <w:p>
            <w:pPr>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Nontaxable or nondeductible items</w:t>
            </w:r>
          </w:p>
        </w:tc>
        <w:tc>
          <w:tcPr>
            <w:tcW w:w="14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3,713</w:t>
            </w: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0.8</w:t>
            </w: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gridSpan w:val="2"/>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2,620</w:t>
            </w:r>
          </w:p>
        </w:tc>
        <w:tc>
          <w:tcPr>
            <w:tcW w:w="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gridSpan w:val="2"/>
            <w:shd w:val="clear" w:color="auto" w:fill="EAEAEA"/>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0.7</w:t>
            </w: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3,020</w:t>
            </w: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rPr>
              <w:t>1.0</w:t>
            </w:r>
          </w:p>
        </w:tc>
        <w:tc>
          <w:tcPr>
            <w:tcW w:w="16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3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1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3"/>
              </w:rPr>
              <w:t>1,150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7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115,997</w:t>
            </w: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24.6</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4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gridSpan w:val="2"/>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75,867</w:t>
            </w:r>
          </w:p>
        </w:tc>
        <w:tc>
          <w:tcPr>
            <w:tcW w:w="2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gridSpan w:val="2"/>
            <w:shd w:val="clear" w:color="auto" w:fill="EAEAEA"/>
          </w:tcPr>
          <w:p>
            <w:pPr>
              <w:jc w:val="right"/>
              <w:ind w:right="20"/>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20.9</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78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71,220</w:t>
            </w: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24.2</w:t>
            </w:r>
          </w:p>
        </w:tc>
        <w:tc>
          <w:tcPr>
            <w:tcW w:w="160" w:type="dxa"/>
            <w:vAlign w:val="bottom"/>
            <w:tcBorders>
              <w:bottom w:val="single" w:sz="8" w:color="EAEAEA"/>
            </w:tcBorders>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-1560830</wp:posOffset>
            </wp:positionV>
            <wp:extent cx="4229100"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4">
                      <a:extLst>
                        <a:ext uri="{28A0092B-C50C-407E-A947-70E740481C1C}"/>
                      </a:extLst>
                    </a:blip>
                    <a:srcRect/>
                    <a:stretch>
                      <a:fillRect/>
                    </a:stretch>
                  </pic:blipFill>
                  <pic:spPr bwMode="auto">
                    <a:xfrm>
                      <a:off x="0" y="0"/>
                      <a:ext cx="4229100" cy="3492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-1425575</wp:posOffset>
            </wp:positionV>
            <wp:extent cx="4229100"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5">
                      <a:extLst>
                        <a:ext uri="{28A0092B-C50C-407E-A947-70E740481C1C}"/>
                      </a:extLst>
                    </a:blip>
                    <a:srcRect/>
                    <a:stretch>
                      <a:fillRect/>
                    </a:stretch>
                  </pic:blipFill>
                  <pic:spPr bwMode="auto">
                    <a:xfrm>
                      <a:off x="0" y="0"/>
                      <a:ext cx="4229100" cy="3492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-195580</wp:posOffset>
            </wp:positionV>
            <wp:extent cx="422910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6">
                      <a:extLst>
                        <a:ext uri="{28A0092B-C50C-407E-A947-70E740481C1C}"/>
                      </a:extLst>
                    </a:blip>
                    <a:srcRect/>
                    <a:stretch>
                      <a:fillRect/>
                    </a:stretch>
                  </pic:blipFill>
                  <pic:spPr bwMode="auto">
                    <a:xfrm>
                      <a:off x="0" y="0"/>
                      <a:ext cx="4229100" cy="25400"/>
                    </a:xfrm>
                    <a:prstGeom prst="rect">
                      <a:avLst/>
                    </a:prstGeom>
                    <a:noFill/>
                  </pic:spPr>
                </pic:pic>
              </a:graphicData>
            </a:graphic>
          </wp:anchor>
        </w:drawing>
      </w:r>
    </w:p>
    <w:p>
      <w:pPr>
        <w:spacing w:after="0" w:line="192" w:lineRule="exact"/>
        <w:rPr>
          <w:sz w:val="20"/>
          <w:szCs w:val="20"/>
          <w:color w:val="auto"/>
        </w:rPr>
      </w:pPr>
    </w:p>
    <w:p>
      <w:pPr>
        <w:ind w:left="720" w:hanging="360"/>
        <w:spacing w:after="0" w:line="278"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states, that in aggregate, accounted for over 50 percent of the effect of the state and local income taxes shown above were Louisiana, Texas, Florida, and New York for 2025, Louisiana for 2024, and Louisiana and New York for 2023.</w:t>
      </w:r>
    </w:p>
    <w:p>
      <w:pPr>
        <w:spacing w:after="0" w:line="163"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The tax effects of temporary differences that give rise to significant portions of the deferred tax assets and liabilities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vMerge w:val="continue"/>
          </w:tcPr>
          <w:p>
            <w:pPr>
              <w:spacing w:after="0"/>
              <w:rPr>
                <w:sz w:val="11"/>
                <w:szCs w:val="11"/>
                <w:color w:val="auto"/>
              </w:rPr>
            </w:pPr>
          </w:p>
        </w:tc>
        <w:tc>
          <w:tcPr>
            <w:tcW w:w="920" w:type="dxa"/>
            <w:vAlign w:val="bottom"/>
            <w:gridSpan w:val="8"/>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 w:type="dxa"/>
            <w:vAlign w:val="bottom"/>
            <w:tcBorders>
              <w:bottom w:val="single" w:sz="8" w:color="EAEAEA"/>
            </w:tcBorders>
          </w:tcPr>
          <w:p>
            <w:pPr>
              <w:spacing w:after="0"/>
              <w:rPr>
                <w:sz w:val="16"/>
                <w:szCs w:val="16"/>
                <w:color w:val="auto"/>
              </w:rPr>
            </w:pPr>
          </w:p>
        </w:tc>
        <w:tc>
          <w:tcPr>
            <w:tcW w:w="7640" w:type="dxa"/>
            <w:vAlign w:val="bottom"/>
            <w:tcBorders>
              <w:bottom w:val="single" w:sz="8" w:color="EAEAEA"/>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6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4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Deferred tax assets:</w:t>
            </w:r>
          </w:p>
        </w:tc>
        <w:tc>
          <w:tcPr>
            <w:tcW w:w="30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30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4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1,461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auto"/>
              </w:rPr>
              <w:t>1,492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Inventory</w:t>
            </w:r>
          </w:p>
        </w:tc>
        <w:tc>
          <w:tcPr>
            <w:tcW w:w="3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0" w:type="dxa"/>
            <w:vAlign w:val="bottom"/>
            <w:gridSpan w:val="4"/>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14,329</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560" w:type="dxa"/>
            <w:vAlign w:val="bottom"/>
            <w:gridSpan w:val="3"/>
            <w:shd w:val="clear" w:color="auto" w:fill="EAEAEA"/>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94"/>
                <w:shd w:val="clear" w:color="auto" w:fill="EAEAEA"/>
              </w:rPr>
              <w:t>20,872</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Insurance accruals</w:t>
            </w:r>
          </w:p>
        </w:tc>
        <w:tc>
          <w:tcPr>
            <w:tcW w:w="300" w:type="dxa"/>
            <w:vAlign w:val="bottom"/>
          </w:tcPr>
          <w:p>
            <w:pPr>
              <w:spacing w:after="0"/>
              <w:rPr>
                <w:sz w:val="20"/>
                <w:szCs w:val="20"/>
                <w:color w:val="auto"/>
              </w:rPr>
            </w:pPr>
          </w:p>
        </w:tc>
        <w:tc>
          <w:tcPr>
            <w:tcW w:w="10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5,754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9"/>
          </w:tcPr>
          <w:p>
            <w:pPr>
              <w:jc w:val="right"/>
              <w:ind w:right="60"/>
              <w:spacing w:after="0"/>
              <w:rPr>
                <w:sz w:val="20"/>
                <w:szCs w:val="20"/>
                <w:color w:val="auto"/>
              </w:rPr>
            </w:pPr>
            <w:r>
              <w:rPr>
                <w:rFonts w:ascii="Times New Roman" w:cs="Times New Roman" w:eastAsia="Times New Roman" w:hAnsi="Times New Roman"/>
                <w:sz w:val="20"/>
                <w:szCs w:val="20"/>
                <w:color w:val="auto"/>
              </w:rPr>
              <w:t>5,523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Deferred compensation</w:t>
            </w:r>
          </w:p>
        </w:tc>
        <w:tc>
          <w:tcPr>
            <w:tcW w:w="3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440" w:type="dxa"/>
            <w:vAlign w:val="bottom"/>
            <w:gridSpan w:val="3"/>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w w:val="93"/>
                <w:shd w:val="clear" w:color="auto" w:fill="EAEAEA"/>
              </w:rPr>
              <w:t>7,027</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420" w:type="dxa"/>
            <w:vAlign w:val="bottom"/>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w w:val="88"/>
                <w:shd w:val="clear" w:color="auto" w:fill="EAEAEA"/>
              </w:rPr>
              <w:t>5,718</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gridSpan w:val="2"/>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Unrealized gain on defined benefit plans</w:t>
            </w:r>
          </w:p>
        </w:tc>
        <w:tc>
          <w:tcPr>
            <w:tcW w:w="300" w:type="dxa"/>
            <w:vAlign w:val="bottom"/>
          </w:tcPr>
          <w:p>
            <w:pPr>
              <w:spacing w:after="0"/>
              <w:rPr>
                <w:sz w:val="20"/>
                <w:szCs w:val="20"/>
                <w:color w:val="auto"/>
              </w:rPr>
            </w:pPr>
          </w:p>
        </w:tc>
        <w:tc>
          <w:tcPr>
            <w:tcW w:w="106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rPr>
              <w:t>(23,712)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rPr>
              <w:t>(19,900)</w:t>
            </w:r>
          </w:p>
        </w:tc>
        <w:tc>
          <w:tcPr>
            <w:tcW w:w="0" w:type="dxa"/>
            <w:vAlign w:val="bottom"/>
          </w:tcPr>
          <w:p>
            <w:pPr>
              <w:spacing w:after="0"/>
              <w:rPr>
                <w:sz w:val="1"/>
                <w:szCs w:val="1"/>
                <w:color w:val="auto"/>
              </w:rPr>
            </w:pPr>
          </w:p>
        </w:tc>
      </w:tr>
      <w:tr>
        <w:trPr>
          <w:trHeight w:val="230"/>
        </w:trPr>
        <w:tc>
          <w:tcPr>
            <w:tcW w:w="200" w:type="dxa"/>
            <w:vAlign w:val="bottom"/>
            <w:shd w:val="clear" w:color="auto" w:fill="EAEAEA"/>
          </w:tcPr>
          <w:p>
            <w:pPr>
              <w:spacing w:after="0"/>
              <w:rPr>
                <w:sz w:val="20"/>
                <w:szCs w:val="20"/>
                <w:color w:val="auto"/>
              </w:rPr>
            </w:pPr>
          </w:p>
        </w:tc>
        <w:tc>
          <w:tcPr>
            <w:tcW w:w="764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Goodwill and other intangibles</w:t>
            </w:r>
          </w:p>
        </w:tc>
        <w:tc>
          <w:tcPr>
            <w:tcW w:w="3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0" w:type="dxa"/>
            <w:vAlign w:val="bottom"/>
            <w:gridSpan w:val="4"/>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14,088</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540" w:type="dxa"/>
            <w:vAlign w:val="bottom"/>
            <w:gridSpan w:val="2"/>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w w:val="94"/>
                <w:shd w:val="clear" w:color="auto" w:fill="EAEAEA"/>
              </w:rPr>
              <w:t>26,888</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gridSpan w:val="2"/>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loss carryforwards</w:t>
            </w:r>
          </w:p>
        </w:tc>
        <w:tc>
          <w:tcPr>
            <w:tcW w:w="300" w:type="dxa"/>
            <w:vAlign w:val="bottom"/>
          </w:tcPr>
          <w:p>
            <w:pPr>
              <w:spacing w:after="0"/>
              <w:rPr>
                <w:sz w:val="20"/>
                <w:szCs w:val="20"/>
                <w:color w:val="auto"/>
              </w:rPr>
            </w:pPr>
          </w:p>
        </w:tc>
        <w:tc>
          <w:tcPr>
            <w:tcW w:w="10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22,000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21,369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EAEAEA"/>
            </w:tcBorders>
            <w:gridSpan w:val="2"/>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Retirement benefits</w:t>
            </w:r>
          </w:p>
        </w:tc>
        <w:tc>
          <w:tcPr>
            <w:tcW w:w="30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58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(1,541</w:t>
            </w: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6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spacing w:after="0"/>
              <w:rPr>
                <w:sz w:val="18"/>
                <w:szCs w:val="18"/>
                <w:color w:val="auto"/>
              </w:rPr>
            </w:pPr>
          </w:p>
        </w:tc>
        <w:tc>
          <w:tcPr>
            <w:tcW w:w="26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42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4"/>
              </w:rPr>
              <w:t>1,801</w:t>
            </w: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gridSpan w:val="2"/>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00" w:type="dxa"/>
            <w:vAlign w:val="bottom"/>
          </w:tcPr>
          <w:p>
            <w:pPr>
              <w:spacing w:after="0"/>
              <w:rPr>
                <w:sz w:val="4"/>
                <w:szCs w:val="4"/>
                <w:color w:val="auto"/>
              </w:rPr>
            </w:pPr>
          </w:p>
        </w:tc>
        <w:tc>
          <w:tcPr>
            <w:tcW w:w="76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4"/>
                <w:szCs w:val="4"/>
                <w:color w:val="auto"/>
              </w:rPr>
            </w:pPr>
          </w:p>
        </w:tc>
        <w:tc>
          <w:tcPr>
            <w:tcW w:w="1020" w:type="dxa"/>
            <w:vAlign w:val="bottom"/>
            <w:gridSpan w:val="7"/>
            <w:vMerge w:val="restart"/>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3,611</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7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9"/>
              </w:rPr>
              <w:t>20,178</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AEAEA"/>
            </w:tcBorders>
          </w:tcPr>
          <w:p>
            <w:pPr>
              <w:spacing w:after="0" w:line="20" w:lineRule="exact"/>
              <w:rPr>
                <w:sz w:val="1"/>
                <w:szCs w:val="1"/>
                <w:color w:val="auto"/>
              </w:rPr>
            </w:pPr>
          </w:p>
        </w:tc>
        <w:tc>
          <w:tcPr>
            <w:tcW w:w="7640" w:type="dxa"/>
            <w:vAlign w:val="bottom"/>
            <w:tcBorders>
              <w:bottom w:val="single" w:sz="8" w:color="EAEAEA"/>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shd w:val="clear" w:color="auto" w:fill="EAEAEA"/>
          </w:tcPr>
          <w:p>
            <w:pPr>
              <w:spacing w:after="0"/>
              <w:rPr>
                <w:sz w:val="18"/>
                <w:szCs w:val="18"/>
                <w:color w:val="auto"/>
              </w:rPr>
            </w:pPr>
          </w:p>
        </w:tc>
        <w:tc>
          <w:tcPr>
            <w:tcW w:w="764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00" w:type="dxa"/>
            <w:vAlign w:val="bottom"/>
            <w:gridSpan w:val="4"/>
            <w:shd w:val="clear" w:color="auto" w:fill="EAEAEA"/>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EAEAEA"/>
              </w:rPr>
              <w:t>43,017</w:t>
            </w: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540" w:type="dxa"/>
            <w:vAlign w:val="bottom"/>
            <w:gridSpan w:val="2"/>
            <w:shd w:val="clear" w:color="auto" w:fill="EAEAEA"/>
          </w:tcPr>
          <w:p>
            <w:pPr>
              <w:jc w:val="right"/>
              <w:spacing w:after="0" w:line="215" w:lineRule="exact"/>
              <w:rPr>
                <w:sz w:val="20"/>
                <w:szCs w:val="20"/>
                <w:color w:val="auto"/>
              </w:rPr>
            </w:pPr>
            <w:r>
              <w:rPr>
                <w:rFonts w:ascii="Times New Roman" w:cs="Times New Roman" w:eastAsia="Times New Roman" w:hAnsi="Times New Roman"/>
                <w:sz w:val="20"/>
                <w:szCs w:val="20"/>
                <w:color w:val="auto"/>
                <w:w w:val="90"/>
                <w:shd w:val="clear" w:color="auto" w:fill="EAEAEA"/>
              </w:rPr>
              <w:t>83,941</w:t>
            </w: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Valuation allowances</w:t>
            </w:r>
          </w:p>
        </w:tc>
        <w:tc>
          <w:tcPr>
            <w:tcW w:w="300" w:type="dxa"/>
            <w:vAlign w:val="bottom"/>
          </w:tcPr>
          <w:p>
            <w:pPr>
              <w:spacing w:after="0"/>
              <w:rPr>
                <w:sz w:val="4"/>
                <w:szCs w:val="4"/>
                <w:color w:val="auto"/>
              </w:rPr>
            </w:pPr>
          </w:p>
        </w:tc>
        <w:tc>
          <w:tcPr>
            <w:tcW w:w="30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580" w:type="dxa"/>
            <w:vAlign w:val="bottom"/>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840" w:type="dxa"/>
            <w:vAlign w:val="bottom"/>
            <w:tcBorders>
              <w:bottom w:val="single" w:sz="8" w:color="EAEAEA"/>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0"/>
              </w:rPr>
              <w:t>(14,981</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60" w:type="dxa"/>
            <w:vAlign w:val="bottom"/>
            <w:tcBorders>
              <w:bottom w:val="single" w:sz="8" w:color="EAEAEA"/>
            </w:tcBorders>
          </w:tcPr>
          <w:p>
            <w:pPr>
              <w:spacing w:after="0"/>
              <w:rPr>
                <w:sz w:val="15"/>
                <w:szCs w:val="15"/>
                <w:color w:val="auto"/>
              </w:rPr>
            </w:pPr>
          </w:p>
        </w:tc>
        <w:tc>
          <w:tcPr>
            <w:tcW w:w="140" w:type="dxa"/>
            <w:vAlign w:val="bottom"/>
            <w:tcBorders>
              <w:bottom w:val="single" w:sz="8" w:color="EAEAEA"/>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gridSpan w:val="4"/>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93"/>
              </w:rPr>
              <w:t>(13,667</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0" w:type="dxa"/>
            <w:vAlign w:val="bottom"/>
          </w:tcPr>
          <w:p>
            <w:pPr>
              <w:spacing w:after="0"/>
              <w:rPr>
                <w:sz w:val="1"/>
                <w:szCs w:val="1"/>
                <w:color w:val="auto"/>
              </w:rPr>
            </w:pPr>
          </w:p>
        </w:tc>
      </w:tr>
      <w:tr>
        <w:trPr>
          <w:trHeight w:val="240"/>
        </w:trPr>
        <w:tc>
          <w:tcPr>
            <w:tcW w:w="200" w:type="dxa"/>
            <w:vAlign w:val="bottom"/>
            <w:tcBorders>
              <w:bottom w:val="single" w:sz="8" w:color="EAEAEA"/>
            </w:tcBorders>
            <w:shd w:val="clear" w:color="auto" w:fill="EAEAEA"/>
          </w:tcPr>
          <w:p>
            <w:pPr>
              <w:spacing w:after="0"/>
              <w:rPr>
                <w:sz w:val="20"/>
                <w:szCs w:val="20"/>
                <w:color w:val="auto"/>
              </w:rPr>
            </w:pPr>
          </w:p>
        </w:tc>
        <w:tc>
          <w:tcPr>
            <w:tcW w:w="764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spacing w:after="0"/>
              <w:rPr>
                <w:sz w:val="20"/>
                <w:szCs w:val="20"/>
                <w:color w:val="auto"/>
              </w:rPr>
            </w:pPr>
          </w:p>
        </w:tc>
        <w:tc>
          <w:tcPr>
            <w:tcW w:w="100" w:type="dxa"/>
            <w:vAlign w:val="bottom"/>
            <w:tcBorders>
              <w:bottom w:val="single" w:sz="8" w:color="auto"/>
            </w:tcBorders>
            <w:shd w:val="clear" w:color="auto" w:fill="EAEAEA"/>
          </w:tcPr>
          <w:p>
            <w:pPr>
              <w:spacing w:after="0"/>
              <w:rPr>
                <w:sz w:val="20"/>
                <w:szCs w:val="20"/>
                <w:color w:val="auto"/>
              </w:rPr>
            </w:pPr>
          </w:p>
        </w:tc>
        <w:tc>
          <w:tcPr>
            <w:tcW w:w="600" w:type="dxa"/>
            <w:vAlign w:val="bottom"/>
            <w:tcBorders>
              <w:bottom w:val="single" w:sz="8" w:color="auto"/>
            </w:tcBorders>
            <w:gridSpan w:val="4"/>
            <w:shd w:val="clear" w:color="auto" w:fill="EAEAEA"/>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AEAEA"/>
              </w:rPr>
              <w:t>28,036</w:t>
            </w:r>
          </w:p>
        </w:tc>
        <w:tc>
          <w:tcPr>
            <w:tcW w:w="20" w:type="dxa"/>
            <w:vAlign w:val="bottom"/>
            <w:tcBorders>
              <w:bottom w:val="single" w:sz="8" w:color="auto"/>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spacing w:after="0"/>
              <w:rPr>
                <w:sz w:val="20"/>
                <w:szCs w:val="20"/>
                <w:color w:val="auto"/>
              </w:rPr>
            </w:pPr>
          </w:p>
        </w:tc>
        <w:tc>
          <w:tcPr>
            <w:tcW w:w="26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gridSpan w:val="2"/>
            <w:shd w:val="clear" w:color="auto" w:fill="EAEAEA"/>
          </w:tcPr>
          <w:p>
            <w:pPr>
              <w:spacing w:after="0"/>
              <w:rPr>
                <w:sz w:val="20"/>
                <w:szCs w:val="20"/>
                <w:color w:val="auto"/>
              </w:rPr>
            </w:pPr>
          </w:p>
        </w:tc>
        <w:tc>
          <w:tcPr>
            <w:tcW w:w="580" w:type="dxa"/>
            <w:vAlign w:val="bottom"/>
            <w:tcBorders>
              <w:bottom w:val="single" w:sz="8" w:color="EAEAEA"/>
            </w:tcBorders>
            <w:gridSpan w:val="4"/>
            <w:shd w:val="clear" w:color="auto" w:fill="EAEAEA"/>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94"/>
                <w:shd w:val="clear" w:color="auto" w:fill="EAEAEA"/>
              </w:rPr>
              <w:t>70,274</w:t>
            </w: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shd w:val="clear" w:color="auto" w:fill="EAEAEA"/>
              </w:rPr>
              <w:t>Property</w:t>
            </w:r>
          </w:p>
        </w:tc>
        <w:tc>
          <w:tcPr>
            <w:tcW w:w="3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700" w:type="dxa"/>
            <w:vAlign w:val="bottom"/>
            <w:gridSpan w:val="5"/>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4"/>
                <w:shd w:val="clear" w:color="auto" w:fill="EAEAEA"/>
              </w:rPr>
              <w:t>(751,343</w:t>
            </w:r>
          </w:p>
        </w:tc>
        <w:tc>
          <w:tcPr>
            <w:tcW w:w="40" w:type="dxa"/>
            <w:vAlign w:val="bottom"/>
            <w:gridSpan w:val="2"/>
            <w:shd w:val="clear" w:color="auto" w:fill="EAEAEA"/>
          </w:tcPr>
          <w:p>
            <w:pPr>
              <w:spacing w:after="0"/>
              <w:rPr>
                <w:sz w:val="20"/>
                <w:szCs w:val="20"/>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70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4"/>
                <w:shd w:val="clear" w:color="auto" w:fill="EAEAEA"/>
              </w:rPr>
              <w:t>(717,808</w:t>
            </w:r>
          </w:p>
        </w:tc>
        <w:tc>
          <w:tcPr>
            <w:tcW w:w="40" w:type="dxa"/>
            <w:vAlign w:val="bottom"/>
            <w:gridSpan w:val="2"/>
            <w:shd w:val="clear" w:color="auto" w:fill="EAEAEA"/>
          </w:tcPr>
          <w:p>
            <w:pPr>
              <w:spacing w:after="0"/>
              <w:rPr>
                <w:sz w:val="20"/>
                <w:szCs w:val="20"/>
                <w:color w:val="auto"/>
              </w:rPr>
            </w:pPr>
          </w:p>
        </w:tc>
        <w:tc>
          <w:tcPr>
            <w:tcW w:w="40" w:type="dxa"/>
            <w:vAlign w:val="bottom"/>
            <w:gridSpan w:val="2"/>
            <w:shd w:val="clear" w:color="auto" w:fill="EAEAEA"/>
          </w:tcPr>
          <w:p>
            <w:pPr>
              <w:spacing w:after="0"/>
              <w:rPr>
                <w:sz w:val="20"/>
                <w:szCs w:val="20"/>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Deferred state taxes</w:t>
            </w:r>
          </w:p>
        </w:tc>
        <w:tc>
          <w:tcPr>
            <w:tcW w:w="300" w:type="dxa"/>
            <w:vAlign w:val="bottom"/>
          </w:tcPr>
          <w:p>
            <w:pPr>
              <w:spacing w:after="0"/>
              <w:rPr>
                <w:sz w:val="20"/>
                <w:szCs w:val="20"/>
                <w:color w:val="auto"/>
              </w:rPr>
            </w:pPr>
          </w:p>
        </w:tc>
        <w:tc>
          <w:tcPr>
            <w:tcW w:w="106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rPr>
              <w:t>(87,060)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rPr>
              <w:t>(78,633)</w:t>
            </w:r>
          </w:p>
        </w:tc>
        <w:tc>
          <w:tcPr>
            <w:tcW w:w="0" w:type="dxa"/>
            <w:vAlign w:val="bottom"/>
          </w:tcPr>
          <w:p>
            <w:pPr>
              <w:spacing w:after="0"/>
              <w:rPr>
                <w:sz w:val="1"/>
                <w:szCs w:val="1"/>
                <w:color w:val="auto"/>
              </w:rPr>
            </w:pPr>
          </w:p>
        </w:tc>
      </w:tr>
      <w:tr>
        <w:trPr>
          <w:trHeight w:val="230"/>
        </w:trPr>
        <w:tc>
          <w:tcPr>
            <w:tcW w:w="200" w:type="dxa"/>
            <w:vAlign w:val="bottom"/>
            <w:tcBorders>
              <w:bottom w:val="single" w:sz="8" w:color="EAEAEA"/>
            </w:tcBorders>
            <w:shd w:val="clear" w:color="auto" w:fill="EAEAEA"/>
          </w:tcPr>
          <w:p>
            <w:pPr>
              <w:spacing w:after="0"/>
              <w:rPr>
                <w:sz w:val="20"/>
                <w:szCs w:val="20"/>
                <w:color w:val="auto"/>
              </w:rPr>
            </w:pPr>
          </w:p>
        </w:tc>
        <w:tc>
          <w:tcPr>
            <w:tcW w:w="764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Other</w:t>
            </w:r>
          </w:p>
        </w:tc>
        <w:tc>
          <w:tcPr>
            <w:tcW w:w="300" w:type="dxa"/>
            <w:vAlign w:val="bottom"/>
            <w:tcBorders>
              <w:bottom w:val="single" w:sz="8" w:color="EAEAEA"/>
            </w:tcBorders>
            <w:shd w:val="clear" w:color="auto" w:fill="EAEAEA"/>
          </w:tcPr>
          <w:p>
            <w:pPr>
              <w:spacing w:after="0"/>
              <w:rPr>
                <w:sz w:val="20"/>
                <w:szCs w:val="20"/>
                <w:color w:val="auto"/>
              </w:rPr>
            </w:pPr>
          </w:p>
        </w:tc>
        <w:tc>
          <w:tcPr>
            <w:tcW w:w="400" w:type="dxa"/>
            <w:vAlign w:val="bottom"/>
            <w:tcBorders>
              <w:bottom w:val="single" w:sz="8" w:color="EAEAEA"/>
            </w:tcBorders>
            <w:gridSpan w:val="2"/>
            <w:shd w:val="clear" w:color="auto" w:fill="EAEAEA"/>
          </w:tcPr>
          <w:p>
            <w:pPr>
              <w:spacing w:after="0"/>
              <w:rPr>
                <w:sz w:val="20"/>
                <w:szCs w:val="20"/>
                <w:color w:val="auto"/>
              </w:rPr>
            </w:pPr>
          </w:p>
        </w:tc>
        <w:tc>
          <w:tcPr>
            <w:tcW w:w="600" w:type="dxa"/>
            <w:vAlign w:val="bottom"/>
            <w:tcBorders>
              <w:bottom w:val="single" w:sz="8" w:color="EAEAEA"/>
            </w:tcBorders>
            <w:gridSpan w:val="4"/>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shd w:val="clear" w:color="auto" w:fill="EAEAEA"/>
              </w:rPr>
              <w:t>(16,006</w:t>
            </w:r>
          </w:p>
        </w:tc>
        <w:tc>
          <w:tcPr>
            <w:tcW w:w="40" w:type="dxa"/>
            <w:vAlign w:val="bottom"/>
            <w:tcBorders>
              <w:bottom w:val="single" w:sz="8" w:color="EAEAEA"/>
            </w:tcBorders>
            <w:gridSpan w:val="2"/>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6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340" w:type="dxa"/>
            <w:vAlign w:val="bottom"/>
            <w:tcBorders>
              <w:bottom w:val="single" w:sz="8" w:color="EAEAEA"/>
            </w:tcBorders>
            <w:shd w:val="clear" w:color="auto" w:fill="EAEAEA"/>
          </w:tcPr>
          <w:p>
            <w:pPr>
              <w:spacing w:after="0"/>
              <w:rPr>
                <w:sz w:val="20"/>
                <w:szCs w:val="20"/>
                <w:color w:val="auto"/>
              </w:rPr>
            </w:pPr>
          </w:p>
        </w:tc>
        <w:tc>
          <w:tcPr>
            <w:tcW w:w="360" w:type="dxa"/>
            <w:vAlign w:val="bottom"/>
            <w:tcBorders>
              <w:bottom w:val="single" w:sz="8" w:color="EAEAEA"/>
            </w:tcBorders>
            <w:gridSpan w:val="2"/>
            <w:shd w:val="clear" w:color="auto" w:fill="EAEAEA"/>
          </w:tcPr>
          <w:p>
            <w:pPr>
              <w:spacing w:after="0"/>
              <w:rPr>
                <w:sz w:val="20"/>
                <w:szCs w:val="20"/>
                <w:color w:val="auto"/>
              </w:rPr>
            </w:pPr>
          </w:p>
        </w:tc>
        <w:tc>
          <w:tcPr>
            <w:tcW w:w="60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shd w:val="clear" w:color="auto" w:fill="EAEAEA"/>
              </w:rPr>
              <w:t>(13,305</w:t>
            </w:r>
          </w:p>
        </w:tc>
        <w:tc>
          <w:tcPr>
            <w:tcW w:w="40" w:type="dxa"/>
            <w:vAlign w:val="bottom"/>
            <w:tcBorders>
              <w:bottom w:val="single" w:sz="8" w:color="EAEAEA"/>
            </w:tcBorders>
            <w:gridSpan w:val="2"/>
            <w:shd w:val="clear" w:color="auto" w:fill="EAEAEA"/>
          </w:tcPr>
          <w:p>
            <w:pPr>
              <w:spacing w:after="0"/>
              <w:rPr>
                <w:sz w:val="20"/>
                <w:szCs w:val="20"/>
                <w:color w:val="auto"/>
              </w:rPr>
            </w:pPr>
          </w:p>
        </w:tc>
        <w:tc>
          <w:tcPr>
            <w:tcW w:w="40" w:type="dxa"/>
            <w:vAlign w:val="bottom"/>
            <w:tcBorders>
              <w:bottom w:val="single" w:sz="8" w:color="EAEAEA"/>
            </w:tcBorders>
            <w:gridSpan w:val="2"/>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0" w:type="dxa"/>
            <w:vAlign w:val="bottom"/>
          </w:tcPr>
          <w:p>
            <w:pPr>
              <w:spacing w:after="0"/>
              <w:rPr>
                <w:sz w:val="1"/>
                <w:szCs w:val="1"/>
                <w:color w:val="auto"/>
              </w:rPr>
            </w:pPr>
          </w:p>
        </w:tc>
      </w:tr>
      <w:tr>
        <w:trPr>
          <w:trHeight w:val="43"/>
        </w:trPr>
        <w:tc>
          <w:tcPr>
            <w:tcW w:w="200" w:type="dxa"/>
            <w:vAlign w:val="bottom"/>
          </w:tcPr>
          <w:p>
            <w:pPr>
              <w:spacing w:after="0"/>
              <w:rPr>
                <w:sz w:val="3"/>
                <w:szCs w:val="3"/>
                <w:color w:val="auto"/>
              </w:rPr>
            </w:pPr>
          </w:p>
        </w:tc>
        <w:tc>
          <w:tcPr>
            <w:tcW w:w="764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vMerge w:val="restart"/>
          </w:tcPr>
          <w:p>
            <w:pPr>
              <w:spacing w:after="0"/>
              <w:rPr>
                <w:sz w:val="3"/>
                <w:szCs w:val="3"/>
                <w:color w:val="auto"/>
              </w:rPr>
            </w:pPr>
          </w:p>
        </w:tc>
        <w:tc>
          <w:tcPr>
            <w:tcW w:w="700" w:type="dxa"/>
            <w:vAlign w:val="bottom"/>
            <w:tcBorders>
              <w:top w:val="single" w:sz="8" w:color="auto"/>
            </w:tcBorders>
            <w:gridSpan w:val="5"/>
          </w:tcPr>
          <w:p>
            <w:pPr>
              <w:spacing w:after="0"/>
              <w:rPr>
                <w:sz w:val="3"/>
                <w:szCs w:val="3"/>
                <w:color w:val="auto"/>
              </w:rPr>
            </w:pPr>
          </w:p>
        </w:tc>
        <w:tc>
          <w:tcPr>
            <w:tcW w:w="20" w:type="dxa"/>
            <w:vAlign w:val="bottom"/>
            <w:tcBorders>
              <w:top w:val="single" w:sz="8" w:color="auto"/>
            </w:tcBorders>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vMerge w:val="restart"/>
          </w:tcPr>
          <w:p>
            <w:pPr>
              <w:spacing w:after="0"/>
              <w:rPr>
                <w:sz w:val="3"/>
                <w:szCs w:val="3"/>
                <w:color w:val="auto"/>
              </w:rPr>
            </w:pPr>
          </w:p>
        </w:tc>
        <w:tc>
          <w:tcPr>
            <w:tcW w:w="740" w:type="dxa"/>
            <w:vAlign w:val="bottom"/>
            <w:tcBorders>
              <w:top w:val="single" w:sz="8" w:color="auto"/>
            </w:tcBorders>
            <w:gridSpan w:val="6"/>
          </w:tcPr>
          <w:p>
            <w:pPr>
              <w:spacing w:after="0"/>
              <w:rPr>
                <w:sz w:val="3"/>
                <w:szCs w:val="3"/>
                <w:color w:val="auto"/>
              </w:rPr>
            </w:pPr>
          </w:p>
        </w:tc>
        <w:tc>
          <w:tcPr>
            <w:tcW w:w="20" w:type="dxa"/>
            <w:vAlign w:val="bottom"/>
            <w:tcBorders>
              <w:top w:val="single" w:sz="8" w:color="auto"/>
            </w:tcBorders>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EAEAEA"/>
            </w:tcBorders>
          </w:tcPr>
          <w:p>
            <w:pPr>
              <w:spacing w:after="0"/>
              <w:rPr>
                <w:sz w:val="15"/>
                <w:szCs w:val="15"/>
                <w:color w:val="auto"/>
              </w:rPr>
            </w:pPr>
          </w:p>
        </w:tc>
        <w:tc>
          <w:tcPr>
            <w:tcW w:w="7640" w:type="dxa"/>
            <w:vAlign w:val="bottom"/>
            <w:tcBorders>
              <w:bottom w:val="single" w:sz="8" w:color="EAEAEA"/>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gridSpan w:val="5"/>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4"/>
              </w:rPr>
              <w:t>(854,409</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60" w:type="dxa"/>
            <w:vAlign w:val="bottom"/>
            <w:tcBorders>
              <w:bottom w:val="single" w:sz="8" w:color="EAEAEA"/>
            </w:tcBorders>
          </w:tcPr>
          <w:p>
            <w:pPr>
              <w:spacing w:after="0"/>
              <w:rPr>
                <w:sz w:val="15"/>
                <w:szCs w:val="15"/>
                <w:color w:val="auto"/>
              </w:rPr>
            </w:pPr>
          </w:p>
        </w:tc>
        <w:tc>
          <w:tcPr>
            <w:tcW w:w="140" w:type="dxa"/>
            <w:vAlign w:val="bottom"/>
            <w:tcBorders>
              <w:bottom w:val="single" w:sz="8" w:color="EAEAEA"/>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gridSpan w:val="6"/>
          </w:tcPr>
          <w:p>
            <w:pPr>
              <w:jc w:val="right"/>
              <w:ind w:right="40"/>
              <w:spacing w:after="0" w:line="182" w:lineRule="exact"/>
              <w:rPr>
                <w:sz w:val="20"/>
                <w:szCs w:val="20"/>
                <w:color w:val="auto"/>
              </w:rPr>
            </w:pPr>
            <w:r>
              <w:rPr>
                <w:rFonts w:ascii="Times New Roman" w:cs="Times New Roman" w:eastAsia="Times New Roman" w:hAnsi="Times New Roman"/>
                <w:sz w:val="20"/>
                <w:szCs w:val="20"/>
                <w:color w:val="auto"/>
                <w:highlight w:val="white"/>
                <w:w w:val="94"/>
              </w:rPr>
              <w:t>(809,746</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0" w:type="dxa"/>
            <w:vAlign w:val="bottom"/>
          </w:tcPr>
          <w:p>
            <w:pPr>
              <w:spacing w:after="0"/>
              <w:rPr>
                <w:sz w:val="1"/>
                <w:szCs w:val="1"/>
                <w:color w:val="auto"/>
              </w:rPr>
            </w:pPr>
          </w:p>
        </w:tc>
      </w:tr>
      <w:tr>
        <w:trPr>
          <w:trHeight w:val="225"/>
        </w:trPr>
        <w:tc>
          <w:tcPr>
            <w:tcW w:w="200" w:type="dxa"/>
            <w:vAlign w:val="bottom"/>
            <w:tcBorders>
              <w:bottom w:val="single" w:sz="8" w:color="EAEAEA"/>
            </w:tcBorders>
            <w:shd w:val="clear" w:color="auto" w:fill="EAEAEA"/>
          </w:tcPr>
          <w:p>
            <w:pPr>
              <w:spacing w:after="0"/>
              <w:rPr>
                <w:sz w:val="19"/>
                <w:szCs w:val="19"/>
                <w:color w:val="auto"/>
              </w:rPr>
            </w:pPr>
          </w:p>
        </w:tc>
        <w:tc>
          <w:tcPr>
            <w:tcW w:w="764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line="198" w:lineRule="exact"/>
              <w:rPr>
                <w:sz w:val="20"/>
                <w:szCs w:val="20"/>
                <w:color w:val="auto"/>
              </w:rPr>
            </w:pPr>
            <w:r>
              <w:rPr>
                <w:rFonts w:ascii="Times New Roman" w:cs="Times New Roman" w:eastAsia="Times New Roman" w:hAnsi="Times New Roman"/>
                <w:sz w:val="20"/>
                <w:szCs w:val="20"/>
                <w:color w:val="auto"/>
                <w:shd w:val="clear" w:color="auto" w:fill="EAEAEA"/>
              </w:rPr>
              <w:t>$</w:t>
            </w:r>
          </w:p>
        </w:tc>
        <w:tc>
          <w:tcPr>
            <w:tcW w:w="300" w:type="dxa"/>
            <w:vAlign w:val="bottom"/>
            <w:tcBorders>
              <w:bottom w:val="single" w:sz="8" w:color="EAEAEA"/>
            </w:tcBorders>
            <w:shd w:val="clear" w:color="auto" w:fill="EAEAEA"/>
          </w:tcPr>
          <w:p>
            <w:pPr>
              <w:spacing w:after="0"/>
              <w:rPr>
                <w:sz w:val="19"/>
                <w:szCs w:val="19"/>
                <w:color w:val="auto"/>
              </w:rPr>
            </w:pPr>
          </w:p>
        </w:tc>
        <w:tc>
          <w:tcPr>
            <w:tcW w:w="700" w:type="dxa"/>
            <w:vAlign w:val="bottom"/>
            <w:tcBorders>
              <w:bottom w:val="single" w:sz="8" w:color="EAEAEA"/>
            </w:tcBorders>
            <w:gridSpan w:val="5"/>
            <w:shd w:val="clear" w:color="auto" w:fill="EAEAEA"/>
          </w:tcPr>
          <w:p>
            <w:pPr>
              <w:jc w:val="right"/>
              <w:spacing w:after="0" w:line="198" w:lineRule="exact"/>
              <w:rPr>
                <w:sz w:val="20"/>
                <w:szCs w:val="20"/>
                <w:color w:val="auto"/>
              </w:rPr>
            </w:pPr>
            <w:r>
              <w:rPr>
                <w:rFonts w:ascii="Times New Roman" w:cs="Times New Roman" w:eastAsia="Times New Roman" w:hAnsi="Times New Roman"/>
                <w:sz w:val="20"/>
                <w:szCs w:val="20"/>
                <w:color w:val="auto"/>
                <w:w w:val="94"/>
                <w:shd w:val="clear" w:color="auto" w:fill="EAEAEA"/>
              </w:rPr>
              <w:t>(826,373</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6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jc w:val="right"/>
              <w:ind w:right="140"/>
              <w:spacing w:after="0" w:line="198"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260" w:type="dxa"/>
            <w:vAlign w:val="bottom"/>
            <w:tcBorders>
              <w:bottom w:val="single" w:sz="8" w:color="EAEAEA"/>
            </w:tcBorders>
            <w:shd w:val="clear" w:color="auto" w:fill="EAEAEA"/>
          </w:tcPr>
          <w:p>
            <w:pPr>
              <w:spacing w:after="0"/>
              <w:rPr>
                <w:sz w:val="19"/>
                <w:szCs w:val="19"/>
                <w:color w:val="auto"/>
              </w:rPr>
            </w:pPr>
          </w:p>
        </w:tc>
        <w:tc>
          <w:tcPr>
            <w:tcW w:w="720" w:type="dxa"/>
            <w:vAlign w:val="bottom"/>
            <w:tcBorders>
              <w:bottom w:val="single" w:sz="8" w:color="EAEAEA"/>
            </w:tcBorders>
            <w:gridSpan w:val="5"/>
            <w:shd w:val="clear" w:color="auto" w:fill="EAEAEA"/>
          </w:tcPr>
          <w:p>
            <w:pPr>
              <w:jc w:val="right"/>
              <w:ind w:right="20"/>
              <w:spacing w:after="0" w:line="198" w:lineRule="exact"/>
              <w:rPr>
                <w:sz w:val="20"/>
                <w:szCs w:val="20"/>
                <w:color w:val="auto"/>
              </w:rPr>
            </w:pPr>
            <w:r>
              <w:rPr>
                <w:rFonts w:ascii="Times New Roman" w:cs="Times New Roman" w:eastAsia="Times New Roman" w:hAnsi="Times New Roman"/>
                <w:sz w:val="20"/>
                <w:szCs w:val="20"/>
                <w:color w:val="auto"/>
                <w:w w:val="94"/>
                <w:shd w:val="clear" w:color="auto" w:fill="EAEAEA"/>
              </w:rPr>
              <w:t>(739,472</w:t>
            </w:r>
          </w:p>
        </w:tc>
        <w:tc>
          <w:tcPr>
            <w:tcW w:w="40" w:type="dxa"/>
            <w:vAlign w:val="bottom"/>
            <w:tcBorders>
              <w:bottom w:val="single" w:sz="8" w:color="EAEAEA"/>
            </w:tcBorders>
            <w:gridSpan w:val="2"/>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-2999105</wp:posOffset>
            </wp:positionV>
            <wp:extent cx="1851660"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7">
                      <a:extLst>
                        <a:ext uri="{28A0092B-C50C-407E-A947-70E740481C1C}"/>
                      </a:extLst>
                    </a:blip>
                    <a:srcRect/>
                    <a:stretch>
                      <a:fillRect/>
                    </a:stretch>
                  </pic:blipFill>
                  <pic:spPr bwMode="auto">
                    <a:xfrm>
                      <a:off x="0" y="0"/>
                      <a:ext cx="1851660" cy="3492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-2863215</wp:posOffset>
            </wp:positionV>
            <wp:extent cx="8572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8">
                      <a:extLst>
                        <a:ext uri="{28A0092B-C50C-407E-A947-70E740481C1C}"/>
                      </a:extLst>
                    </a:blip>
                    <a:srcRect/>
                    <a:stretch>
                      <a:fillRect/>
                    </a:stretch>
                  </pic:blipFill>
                  <pic:spPr bwMode="auto">
                    <a:xfrm>
                      <a:off x="0" y="0"/>
                      <a:ext cx="857250" cy="2540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-1393190</wp:posOffset>
            </wp:positionV>
            <wp:extent cx="8572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9">
                      <a:extLst>
                        <a:ext uri="{28A0092B-C50C-407E-A947-70E740481C1C}"/>
                      </a:extLst>
                    </a:blip>
                    <a:srcRect/>
                    <a:stretch>
                      <a:fillRect/>
                    </a:stretch>
                  </pic:blipFill>
                  <pic:spPr bwMode="auto">
                    <a:xfrm>
                      <a:off x="0" y="0"/>
                      <a:ext cx="857250" cy="2540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-1091565</wp:posOffset>
            </wp:positionV>
            <wp:extent cx="8572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0">
                      <a:extLst>
                        <a:ext uri="{28A0092B-C50C-407E-A947-70E740481C1C}"/>
                      </a:extLst>
                    </a:blip>
                    <a:srcRect/>
                    <a:stretch>
                      <a:fillRect/>
                    </a:stretch>
                  </pic:blipFill>
                  <pic:spPr bwMode="auto">
                    <a:xfrm>
                      <a:off x="0" y="0"/>
                      <a:ext cx="857250" cy="2540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-935990</wp:posOffset>
            </wp:positionV>
            <wp:extent cx="8572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1">
                      <a:extLst>
                        <a:ext uri="{28A0092B-C50C-407E-A947-70E740481C1C}"/>
                      </a:extLst>
                    </a:blip>
                    <a:srcRect/>
                    <a:stretch>
                      <a:fillRect/>
                    </a:stretch>
                  </pic:blipFill>
                  <pic:spPr bwMode="auto">
                    <a:xfrm>
                      <a:off x="0" y="0"/>
                      <a:ext cx="857250" cy="2540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-342265</wp:posOffset>
            </wp:positionV>
            <wp:extent cx="8572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2">
                      <a:extLst>
                        <a:ext uri="{28A0092B-C50C-407E-A947-70E740481C1C}"/>
                      </a:extLst>
                    </a:blip>
                    <a:srcRect/>
                    <a:stretch>
                      <a:fillRect/>
                    </a:stretch>
                  </pic:blipFill>
                  <pic:spPr bwMode="auto">
                    <a:xfrm>
                      <a:off x="0" y="0"/>
                      <a:ext cx="857250" cy="2540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-186690</wp:posOffset>
            </wp:positionV>
            <wp:extent cx="8572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3">
                      <a:extLst>
                        <a:ext uri="{28A0092B-C50C-407E-A947-70E740481C1C}"/>
                      </a:extLst>
                    </a:blip>
                    <a:srcRect/>
                    <a:stretch>
                      <a:fillRect/>
                    </a:stretch>
                  </pic:blipFill>
                  <pic:spPr bwMode="auto">
                    <a:xfrm>
                      <a:off x="0" y="0"/>
                      <a:ext cx="857250" cy="2540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2025, the Company generated federal taxable income which was partially offset by research and development tax credits.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2024, the Company generated federal taxable income which was partially offset by federal net operating loss carryforward</w:t>
      </w:r>
    </w:p>
    <w:p>
      <w:pPr>
        <w:spacing w:after="0"/>
        <w:rPr>
          <w:sz w:val="20"/>
          <w:szCs w:val="20"/>
          <w:color w:val="auto"/>
        </w:rPr>
      </w:pPr>
      <w:r>
        <w:rPr>
          <w:rFonts w:ascii="Times New Roman" w:cs="Times New Roman" w:eastAsia="Times New Roman" w:hAnsi="Times New Roman"/>
          <w:sz w:val="20"/>
          <w:szCs w:val="20"/>
          <w:color w:val="auto"/>
        </w:rPr>
        <w:t>The Company had no research and development and federal operating loss deferred tax assets at December 31, 2025 and 2024.</w:t>
      </w:r>
    </w:p>
    <w:p>
      <w:pPr>
        <w:spacing w:after="0" w:line="172" w:lineRule="exact"/>
        <w:rPr>
          <w:sz w:val="20"/>
          <w:szCs w:val="20"/>
          <w:color w:val="auto"/>
        </w:rPr>
      </w:pPr>
    </w:p>
    <w:p>
      <w:pPr>
        <w:jc w:val="both"/>
        <w:ind w:firstLine="359"/>
        <w:spacing w:after="0" w:line="254" w:lineRule="auto"/>
        <w:rPr>
          <w:sz w:val="20"/>
          <w:szCs w:val="20"/>
          <w:color w:val="auto"/>
        </w:rPr>
      </w:pPr>
      <w:r>
        <w:rPr>
          <w:rFonts w:ascii="Times New Roman" w:cs="Times New Roman" w:eastAsia="Times New Roman" w:hAnsi="Times New Roman"/>
          <w:sz w:val="20"/>
          <w:szCs w:val="20"/>
          <w:color w:val="auto"/>
        </w:rPr>
        <w:t>The Company had state operating loss deferred tax assets of $17.1 million and $16.6 million at December 31, 2025 and 2024, respectively. The valuation allowance for state deferred tax assets as of December 31, 2025 and 2024 was $10.0 million and $8.9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 respectively, related to the Company’s state net operating loss carryforwards based on the Company’s determination that it is</w:t>
      </w:r>
    </w:p>
    <w:p>
      <w:pPr>
        <w:spacing w:after="0" w:line="8" w:lineRule="exact"/>
        <w:rPr>
          <w:sz w:val="20"/>
          <w:szCs w:val="20"/>
          <w:color w:val="auto"/>
        </w:rPr>
      </w:pPr>
    </w:p>
    <w:p>
      <w:pPr>
        <w:jc w:val="both"/>
        <w:ind w:hanging="7"/>
        <w:spacing w:after="0"/>
        <w:rPr>
          <w:sz w:val="20"/>
          <w:szCs w:val="20"/>
          <w:color w:val="auto"/>
        </w:rPr>
      </w:pPr>
      <w:r>
        <w:rPr>
          <w:rFonts w:ascii="Times New Roman" w:cs="Times New Roman" w:eastAsia="Times New Roman" w:hAnsi="Times New Roman"/>
          <w:sz w:val="20"/>
          <w:szCs w:val="20"/>
          <w:color w:val="auto"/>
        </w:rPr>
        <w:t>more likely than not that the deferred tax assets will not be realized. Expiration of these state net operating loss carryforwards vary by state through 2032 and none will expire in fiscal 2026.</w:t>
      </w:r>
    </w:p>
    <w:p>
      <w:pPr>
        <w:spacing w:after="0" w:line="20" w:lineRule="exact"/>
        <w:rPr>
          <w:sz w:val="20"/>
          <w:szCs w:val="20"/>
          <w:color w:val="auto"/>
        </w:rPr>
      </w:pPr>
    </w:p>
    <w:p>
      <w:pPr>
        <w:spacing w:after="0" w:line="142" w:lineRule="exact"/>
        <w:rPr>
          <w:sz w:val="20"/>
          <w:szCs w:val="20"/>
          <w:color w:val="auto"/>
        </w:rPr>
      </w:pPr>
    </w:p>
    <w:p>
      <w:pPr>
        <w:jc w:val="both"/>
        <w:ind w:firstLine="362"/>
        <w:spacing w:after="0" w:line="279" w:lineRule="auto"/>
        <w:rPr>
          <w:sz w:val="20"/>
          <w:szCs w:val="20"/>
          <w:color w:val="auto"/>
        </w:rPr>
      </w:pPr>
      <w:r>
        <w:rPr>
          <w:rFonts w:ascii="Times New Roman" w:cs="Times New Roman" w:eastAsia="Times New Roman" w:hAnsi="Times New Roman"/>
          <w:sz w:val="20"/>
          <w:szCs w:val="20"/>
          <w:color w:val="auto"/>
        </w:rPr>
        <w:t>As of December 31, 2025 and 2024, the Company had a Canadian net operating loss carryforward of $4.9 million which expires between 2037 and 2045. A full valuation allowance has been provided for this asset.</w:t>
      </w:r>
    </w:p>
    <w:p>
      <w:pPr>
        <w:spacing w:after="0" w:line="12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or one of its subsidiaries files income tax returns in the United States federal jurisdiction and various state jurisdictions. With few exceptions, the Company and its subsidiaries’ state income tax returns are open to audit under the statute of limitations for the 2019 through 2024 tax years.</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10800"/>
          </w:cols>
          <w:pgMar w:left="720" w:top="929" w:right="720" w:bottom="187" w:gutter="0" w:footer="0" w:header="0"/>
          <w:type w:val="continuous"/>
        </w:sectPr>
      </w:pPr>
    </w:p>
    <w:bookmarkStart w:id="82" w:name="page83"/>
    <w:bookmarkEnd w:id="82"/>
    <w:p>
      <w:pPr>
        <w:jc w:val="both"/>
        <w:ind w:firstLine="362"/>
        <w:spacing w:after="0" w:line="247" w:lineRule="auto"/>
        <w:rPr>
          <w:sz w:val="20"/>
          <w:szCs w:val="20"/>
          <w:color w:val="auto"/>
        </w:rPr>
      </w:pPr>
      <w:r>
        <w:rPr>
          <w:rFonts w:ascii="Times New Roman" w:cs="Times New Roman" w:eastAsia="Times New Roman" w:hAnsi="Times New Roman"/>
          <w:sz w:val="20"/>
          <w:szCs w:val="20"/>
          <w:color w:val="auto"/>
        </w:rPr>
        <w:t>As of December 31, 2025, the Company has provided a liability of $ 2.4 million for unrecognized tax benefits related to various income tax issues which includes interest and penalties. The amount that would impact the Company’s effective tax rate, if recognized, is $2.2 million, with the difference between the total amount of unrecognized tax benefits and the amount that would impact the effective tax rate being primarily related to the federal tax benefit of state income tax items and federal research and development tax credits. It is not reasonably possible to determine if the liability for unrecognized tax benefits will significantly change prior to December 31, 2026 due to the uncertainty of possible examination results.</w:t>
      </w:r>
    </w:p>
    <w:p>
      <w:pPr>
        <w:spacing w:after="0" w:line="19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accounts for interest and penalties related to uncertain tax positions as part of its provision for federal and state income taxes. The Company had $0.3 million and $0.2 million of accrued liabilities for the payment of interest and penalties at December 31, 2025 and 2024, respectively.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income taxes paid (net of refunds received)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5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780" w:type="dxa"/>
            <w:vAlign w:val="bottom"/>
            <w:gridSpan w:val="6"/>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840" w:type="dxa"/>
            <w:vAlign w:val="bottom"/>
            <w:tcBorders>
              <w:bottom w:val="single" w:sz="8" w:color="EAEAEA"/>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EAEAEA"/>
            </w:tcBorders>
          </w:tcPr>
          <w:p>
            <w:pPr>
              <w:spacing w:after="0"/>
              <w:rPr>
                <w:sz w:val="17"/>
                <w:szCs w:val="17"/>
                <w:color w:val="auto"/>
              </w:rPr>
            </w:pPr>
          </w:p>
        </w:tc>
        <w:tc>
          <w:tcPr>
            <w:tcW w:w="60" w:type="dxa"/>
            <w:vAlign w:val="bottom"/>
            <w:tcBorders>
              <w:bottom w:val="single" w:sz="8" w:color="EAEAEA"/>
            </w:tcBorders>
          </w:tcPr>
          <w:p>
            <w:pPr>
              <w:spacing w:after="0"/>
              <w:rPr>
                <w:sz w:val="17"/>
                <w:szCs w:val="17"/>
                <w:color w:val="auto"/>
              </w:rPr>
            </w:pPr>
          </w:p>
        </w:tc>
        <w:tc>
          <w:tcPr>
            <w:tcW w:w="220" w:type="dxa"/>
            <w:vAlign w:val="bottom"/>
            <w:tcBorders>
              <w:bottom w:val="single" w:sz="8" w:color="EAEAEA"/>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EAEAEA"/>
            </w:tcBorders>
          </w:tcPr>
          <w:p>
            <w:pPr>
              <w:spacing w:after="0"/>
              <w:rPr>
                <w:sz w:val="17"/>
                <w:szCs w:val="17"/>
                <w:color w:val="auto"/>
              </w:rPr>
            </w:pPr>
          </w:p>
        </w:tc>
        <w:tc>
          <w:tcPr>
            <w:tcW w:w="80" w:type="dxa"/>
            <w:vAlign w:val="bottom"/>
            <w:tcBorders>
              <w:bottom w:val="single" w:sz="8" w:color="EAEAEA"/>
            </w:tcBorders>
          </w:tcPr>
          <w:p>
            <w:pPr>
              <w:spacing w:after="0"/>
              <w:rPr>
                <w:sz w:val="17"/>
                <w:szCs w:val="17"/>
                <w:color w:val="auto"/>
              </w:rPr>
            </w:pPr>
          </w:p>
        </w:tc>
        <w:tc>
          <w:tcPr>
            <w:tcW w:w="200" w:type="dxa"/>
            <w:vAlign w:val="bottom"/>
            <w:tcBorders>
              <w:bottom w:val="single" w:sz="8" w:color="EAEAEA"/>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tcBorders>
              <w:bottom w:val="single" w:sz="8" w:color="EAEAEA"/>
            </w:tcBorders>
            <w:shd w:val="clear" w:color="auto" w:fill="EAEAEA"/>
          </w:tcPr>
          <w:p>
            <w:pPr>
              <w:spacing w:after="0" w:line="199" w:lineRule="exact"/>
              <w:rPr>
                <w:sz w:val="20"/>
                <w:szCs w:val="20"/>
                <w:color w:val="auto"/>
              </w:rPr>
            </w:pPr>
            <w:r>
              <w:rPr>
                <w:rFonts w:ascii="Times New Roman" w:cs="Times New Roman" w:eastAsia="Times New Roman" w:hAnsi="Times New Roman"/>
                <w:sz w:val="20"/>
                <w:szCs w:val="20"/>
                <w:color w:val="auto"/>
                <w:shd w:val="clear" w:color="auto" w:fill="EAEAEA"/>
              </w:rPr>
              <w:t>U.S. Federal</w:t>
            </w:r>
          </w:p>
        </w:tc>
        <w:tc>
          <w:tcPr>
            <w:tcW w:w="320" w:type="dxa"/>
            <w:vAlign w:val="bottom"/>
            <w:tcBorders>
              <w:bottom w:val="single" w:sz="8" w:color="EAEAEA"/>
            </w:tcBorders>
            <w:shd w:val="clear" w:color="auto" w:fill="EAEAEA"/>
          </w:tcPr>
          <w:p>
            <w:pPr>
              <w:jc w:val="right"/>
              <w:ind w:right="120"/>
              <w:spacing w:after="0" w:line="199"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60" w:type="dxa"/>
            <w:vAlign w:val="bottom"/>
            <w:tcBorders>
              <w:bottom w:val="single" w:sz="8" w:color="EAEAEA"/>
            </w:tcBorders>
            <w:shd w:val="clear" w:color="auto" w:fill="EAEAEA"/>
          </w:tcPr>
          <w:p>
            <w:pPr>
              <w:jc w:val="right"/>
              <w:spacing w:after="0" w:line="199" w:lineRule="exact"/>
              <w:rPr>
                <w:sz w:val="20"/>
                <w:szCs w:val="20"/>
                <w:color w:val="auto"/>
              </w:rPr>
            </w:pPr>
            <w:r>
              <w:rPr>
                <w:rFonts w:ascii="Times New Roman" w:cs="Times New Roman" w:eastAsia="Times New Roman" w:hAnsi="Times New Roman"/>
                <w:sz w:val="20"/>
                <w:szCs w:val="20"/>
                <w:color w:val="auto"/>
                <w:shd w:val="clear" w:color="auto" w:fill="EAEAEA"/>
              </w:rPr>
              <w:t>73,400</w:t>
            </w:r>
          </w:p>
        </w:tc>
        <w:tc>
          <w:tcPr>
            <w:tcW w:w="10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jc w:val="right"/>
              <w:ind w:right="120"/>
              <w:spacing w:after="0" w:line="199"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60" w:type="dxa"/>
            <w:vAlign w:val="bottom"/>
            <w:tcBorders>
              <w:bottom w:val="single" w:sz="8" w:color="EAEAEA"/>
            </w:tcBorders>
            <w:gridSpan w:val="2"/>
            <w:shd w:val="clear" w:color="auto" w:fill="EAEAEA"/>
          </w:tcPr>
          <w:p>
            <w:pPr>
              <w:jc w:val="right"/>
              <w:spacing w:after="0" w:line="199" w:lineRule="exact"/>
              <w:rPr>
                <w:sz w:val="20"/>
                <w:szCs w:val="20"/>
                <w:color w:val="auto"/>
              </w:rPr>
            </w:pPr>
            <w:r>
              <w:rPr>
                <w:rFonts w:ascii="Times New Roman" w:cs="Times New Roman" w:eastAsia="Times New Roman" w:hAnsi="Times New Roman"/>
                <w:sz w:val="20"/>
                <w:szCs w:val="20"/>
                <w:color w:val="auto"/>
                <w:shd w:val="clear" w:color="auto" w:fill="EAEAEA"/>
              </w:rPr>
              <w:t>12,000</w:t>
            </w:r>
          </w:p>
        </w:tc>
        <w:tc>
          <w:tcPr>
            <w:tcW w:w="10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jc w:val="right"/>
              <w:ind w:right="100"/>
              <w:spacing w:after="0" w:line="199"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60" w:type="dxa"/>
            <w:vAlign w:val="bottom"/>
            <w:tcBorders>
              <w:bottom w:val="single" w:sz="8" w:color="EAEAEA"/>
            </w:tcBorders>
            <w:gridSpan w:val="2"/>
            <w:shd w:val="clear" w:color="auto" w:fill="EAEAEA"/>
          </w:tcPr>
          <w:p>
            <w:pPr>
              <w:jc w:val="right"/>
              <w:spacing w:after="0" w:line="199" w:lineRule="exact"/>
              <w:rPr>
                <w:sz w:val="20"/>
                <w:szCs w:val="20"/>
                <w:color w:val="auto"/>
              </w:rPr>
            </w:pPr>
            <w:r>
              <w:rPr>
                <w:rFonts w:ascii="Times New Roman" w:cs="Times New Roman" w:eastAsia="Times New Roman" w:hAnsi="Times New Roman"/>
                <w:sz w:val="20"/>
                <w:szCs w:val="20"/>
                <w:color w:val="auto"/>
                <w:shd w:val="clear" w:color="auto" w:fill="EAEAEA"/>
              </w:rPr>
              <w:t>(70,443</w:t>
            </w: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0" w:type="dxa"/>
            <w:vAlign w:val="bottom"/>
          </w:tcPr>
          <w:p>
            <w:pPr>
              <w:spacing w:after="0"/>
              <w:rPr>
                <w:sz w:val="1"/>
                <w:szCs w:val="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U.S. State: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40" w:type="dxa"/>
            <w:vAlign w:val="bottom"/>
            <w:tcBorders>
              <w:bottom w:val="single" w:sz="8" w:color="EAEAEA"/>
            </w:tcBorders>
            <w:shd w:val="clear" w:color="auto" w:fill="EAEAEA"/>
          </w:tcPr>
          <w:p>
            <w:pPr>
              <w:ind w:left="20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Colorado</w:t>
            </w:r>
          </w:p>
        </w:tc>
        <w:tc>
          <w:tcPr>
            <w:tcW w:w="320" w:type="dxa"/>
            <w:vAlign w:val="bottom"/>
            <w:tcBorders>
              <w:bottom w:val="single" w:sz="8" w:color="EAEAEA"/>
            </w:tcBorders>
            <w:shd w:val="clear" w:color="auto" w:fill="EAEAEA"/>
          </w:tcPr>
          <w:p>
            <w:pPr>
              <w:spacing w:after="0"/>
              <w:rPr>
                <w:sz w:val="19"/>
                <w:szCs w:val="19"/>
                <w:color w:val="auto"/>
              </w:rPr>
            </w:pPr>
          </w:p>
        </w:tc>
        <w:tc>
          <w:tcPr>
            <w:tcW w:w="10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60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88"/>
              </w:rPr>
              <w:t>1,378</w:t>
            </w:r>
          </w:p>
        </w:tc>
        <w:tc>
          <w:tcPr>
            <w:tcW w:w="10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rPr>
                <w:sz w:val="19"/>
                <w:szCs w:val="19"/>
                <w:color w:val="auto"/>
              </w:rPr>
            </w:pPr>
          </w:p>
        </w:tc>
        <w:tc>
          <w:tcPr>
            <w:tcW w:w="60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New York</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40" w:type="dxa"/>
            <w:vAlign w:val="bottom"/>
            <w:tcBorders>
              <w:bottom w:val="single" w:sz="8" w:color="EAEAEA"/>
            </w:tcBorders>
            <w:shd w:val="clear" w:color="auto" w:fill="EAEAEA"/>
          </w:tcPr>
          <w:p>
            <w:pPr>
              <w:ind w:left="200"/>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Other</w:t>
            </w:r>
          </w:p>
        </w:tc>
        <w:tc>
          <w:tcPr>
            <w:tcW w:w="320" w:type="dxa"/>
            <w:vAlign w:val="bottom"/>
            <w:tcBorders>
              <w:bottom w:val="single" w:sz="8" w:color="EAEAEA"/>
            </w:tcBorders>
            <w:shd w:val="clear" w:color="auto" w:fill="EAEAEA"/>
          </w:tcPr>
          <w:p>
            <w:pPr>
              <w:spacing w:after="0"/>
              <w:rPr>
                <w:sz w:val="19"/>
                <w:szCs w:val="19"/>
                <w:color w:val="auto"/>
              </w:rPr>
            </w:pPr>
          </w:p>
        </w:tc>
        <w:tc>
          <w:tcPr>
            <w:tcW w:w="10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shd w:val="clear" w:color="auto" w:fill="EAEAEA"/>
              </w:rPr>
              <w:t>10,260</w:t>
            </w:r>
          </w:p>
        </w:tc>
        <w:tc>
          <w:tcPr>
            <w:tcW w:w="10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60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93"/>
                <w:shd w:val="clear" w:color="auto" w:fill="EAEAEA"/>
              </w:rPr>
              <w:t>4,549</w:t>
            </w:r>
          </w:p>
        </w:tc>
        <w:tc>
          <w:tcPr>
            <w:tcW w:w="10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EAEAEA"/>
            </w:tcBorders>
            <w:shd w:val="clear" w:color="auto" w:fill="EAEAEA"/>
          </w:tcPr>
          <w:p>
            <w:pPr>
              <w:spacing w:after="0"/>
              <w:rPr>
                <w:sz w:val="19"/>
                <w:szCs w:val="19"/>
                <w:color w:val="auto"/>
              </w:rPr>
            </w:pPr>
          </w:p>
        </w:tc>
        <w:tc>
          <w:tcPr>
            <w:tcW w:w="60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jc w:val="right"/>
              <w:spacing w:after="0" w:line="204" w:lineRule="exact"/>
              <w:rPr>
                <w:sz w:val="20"/>
                <w:szCs w:val="20"/>
                <w:color w:val="auto"/>
              </w:rPr>
            </w:pPr>
            <w:r>
              <w:rPr>
                <w:rFonts w:ascii="Times New Roman" w:cs="Times New Roman" w:eastAsia="Times New Roman" w:hAnsi="Times New Roman"/>
                <w:sz w:val="20"/>
                <w:szCs w:val="20"/>
                <w:color w:val="auto"/>
                <w:w w:val="88"/>
                <w:shd w:val="clear" w:color="auto" w:fill="EAEAEA"/>
              </w:rPr>
              <w:t>4,465</w:t>
            </w:r>
          </w:p>
        </w:tc>
        <w:tc>
          <w:tcPr>
            <w:tcW w:w="8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100" w:type="dxa"/>
            <w:vAlign w:val="bottom"/>
            <w:tcBorders>
              <w:bottom w:val="single" w:sz="8" w:color="EAEAEA"/>
            </w:tcBorders>
          </w:tcPr>
          <w:p>
            <w:pPr>
              <w:spacing w:after="0"/>
              <w:rPr>
                <w:sz w:val="21"/>
                <w:szCs w:val="21"/>
                <w:color w:val="auto"/>
              </w:rPr>
            </w:pPr>
          </w:p>
        </w:tc>
        <w:tc>
          <w:tcPr>
            <w:tcW w:w="60" w:type="dxa"/>
            <w:vAlign w:val="bottom"/>
            <w:tcBorders>
              <w:bottom w:val="single" w:sz="8" w:color="EAEAEA"/>
            </w:tcBorders>
          </w:tcPr>
          <w:p>
            <w:pPr>
              <w:spacing w:after="0"/>
              <w:rPr>
                <w:sz w:val="21"/>
                <w:szCs w:val="21"/>
                <w:color w:val="auto"/>
              </w:rPr>
            </w:pPr>
          </w:p>
        </w:tc>
        <w:tc>
          <w:tcPr>
            <w:tcW w:w="22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Borders>
              <w:bottom w:val="single" w:sz="8" w:color="EAEAEA"/>
            </w:tcBorders>
          </w:tcPr>
          <w:p>
            <w:pPr>
              <w:spacing w:after="0"/>
              <w:rPr>
                <w:sz w:val="21"/>
                <w:szCs w:val="21"/>
                <w:color w:val="auto"/>
              </w:rPr>
            </w:pPr>
          </w:p>
        </w:tc>
        <w:tc>
          <w:tcPr>
            <w:tcW w:w="80" w:type="dxa"/>
            <w:vAlign w:val="bottom"/>
            <w:tcBorders>
              <w:bottom w:val="single" w:sz="8" w:color="EAEAEA"/>
            </w:tcBorders>
          </w:tcPr>
          <w:p>
            <w:pPr>
              <w:spacing w:after="0"/>
              <w:rPr>
                <w:sz w:val="21"/>
                <w:szCs w:val="21"/>
                <w:color w:val="auto"/>
              </w:rPr>
            </w:pPr>
          </w:p>
        </w:tc>
        <w:tc>
          <w:tcPr>
            <w:tcW w:w="200" w:type="dxa"/>
            <w:vAlign w:val="bottom"/>
            <w:tcBorders>
              <w:bottom w:val="single" w:sz="8" w:color="EAEAE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EAEAEA"/>
            </w:tcBorders>
            <w:shd w:val="clear" w:color="auto" w:fill="EAEAEA"/>
          </w:tcPr>
          <w:p>
            <w:pPr>
              <w:jc w:val="right"/>
              <w:ind w:right="120"/>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60" w:type="dxa"/>
            <w:vAlign w:val="bottom"/>
            <w:tcBorders>
              <w:bottom w:val="single" w:sz="8" w:color="EAEAEA"/>
            </w:tcBorders>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83,996</w:t>
            </w:r>
          </w:p>
        </w:tc>
        <w:tc>
          <w:tcPr>
            <w:tcW w:w="10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22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EAEAEA"/>
            </w:tcBorders>
            <w:shd w:val="clear" w:color="auto" w:fill="EAEAEA"/>
          </w:tcPr>
          <w:p>
            <w:pPr>
              <w:jc w:val="right"/>
              <w:ind w:right="120"/>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60" w:type="dxa"/>
            <w:vAlign w:val="bottom"/>
            <w:tcBorders>
              <w:bottom w:val="single" w:sz="8" w:color="EAEAEA"/>
            </w:tcBorders>
            <w:gridSpan w:val="2"/>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19,567</w:t>
            </w:r>
          </w:p>
        </w:tc>
        <w:tc>
          <w:tcPr>
            <w:tcW w:w="10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EAEAEA"/>
            </w:tcBorders>
            <w:shd w:val="clear" w:color="auto" w:fill="EAEAEA"/>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60" w:type="dxa"/>
            <w:vAlign w:val="bottom"/>
            <w:tcBorders>
              <w:bottom w:val="single" w:sz="8" w:color="EAEAEA"/>
            </w:tcBorders>
            <w:gridSpan w:val="2"/>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(65,787</w:t>
            </w: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-1279525</wp:posOffset>
            </wp:positionV>
            <wp:extent cx="311467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4">
                      <a:extLst>
                        <a:ext uri="{28A0092B-C50C-407E-A947-70E740481C1C}"/>
                      </a:extLst>
                    </a:blip>
                    <a:srcRect/>
                    <a:stretch>
                      <a:fillRect/>
                    </a:stretch>
                  </pic:blipFill>
                  <pic:spPr bwMode="auto">
                    <a:xfrm>
                      <a:off x="0" y="0"/>
                      <a:ext cx="3114675" cy="3492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-1144270</wp:posOffset>
            </wp:positionV>
            <wp:extent cx="892810"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5">
                      <a:extLst>
                        <a:ext uri="{28A0092B-C50C-407E-A947-70E740481C1C}"/>
                      </a:extLst>
                    </a:blip>
                    <a:srcRect/>
                    <a:stretch>
                      <a:fillRect/>
                    </a:stretch>
                  </pic:blipFill>
                  <pic:spPr bwMode="auto">
                    <a:xfrm>
                      <a:off x="0" y="0"/>
                      <a:ext cx="892810" cy="3492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-205105</wp:posOffset>
            </wp:positionV>
            <wp:extent cx="892810"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36">
                      <a:extLst>
                        <a:ext uri="{28A0092B-C50C-407E-A947-70E740481C1C}"/>
                      </a:extLst>
                    </a:blip>
                    <a:srcRect/>
                    <a:stretch>
                      <a:fillRect/>
                    </a:stretch>
                  </pic:blipFill>
                  <pic:spPr bwMode="auto">
                    <a:xfrm>
                      <a:off x="0" y="0"/>
                      <a:ext cx="892810" cy="34925"/>
                    </a:xfrm>
                    <a:prstGeom prst="rect">
                      <a:avLst/>
                    </a:prstGeom>
                    <a:noFill/>
                  </pic:spPr>
                </pic:pic>
              </a:graphicData>
            </a:graphic>
          </wp:anchor>
        </w:drawing>
      </w:r>
    </w:p>
    <w:p>
      <w:pPr>
        <w:spacing w:after="0" w:line="190" w:lineRule="exact"/>
        <w:rPr>
          <w:sz w:val="20"/>
          <w:szCs w:val="20"/>
          <w:color w:val="auto"/>
        </w:rPr>
      </w:pPr>
    </w:p>
    <w:p>
      <w:pPr>
        <w:ind w:left="520" w:hanging="146"/>
        <w:spacing w:after="0"/>
        <w:tabs>
          <w:tab w:leader="none" w:pos="52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amount of income taxes paid (net of refunds received) did not meet 5% disaggregation threshold.</w:t>
      </w:r>
    </w:p>
    <w:p>
      <w:pPr>
        <w:spacing w:after="0" w:line="196" w:lineRule="exact"/>
        <w:rPr>
          <w:rFonts w:ascii="Times New Roman" w:cs="Times New Roman" w:eastAsia="Times New Roman" w:hAnsi="Times New Roman"/>
          <w:sz w:val="20"/>
          <w:szCs w:val="20"/>
          <w:color w:val="auto"/>
        </w:rPr>
      </w:pPr>
    </w:p>
    <w:p>
      <w:pPr>
        <w:ind w:left="380" w:hanging="380"/>
        <w:spacing w:after="0"/>
        <w:tabs>
          <w:tab w:leader="none" w:pos="3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following table presents the components of basic and diluted earnings per share (in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6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740" w:type="dxa"/>
            <w:vAlign w:val="bottom"/>
            <w:gridSpan w:val="13"/>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300" w:type="dxa"/>
            <w:vAlign w:val="bottom"/>
            <w:tcBorders>
              <w:bottom w:val="single" w:sz="8" w:color="EAEAEA"/>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EAEAEA"/>
            </w:tcBorders>
          </w:tcPr>
          <w:p>
            <w:pPr>
              <w:spacing w:after="0"/>
              <w:rPr>
                <w:sz w:val="17"/>
                <w:szCs w:val="17"/>
                <w:color w:val="auto"/>
              </w:rPr>
            </w:pPr>
          </w:p>
        </w:tc>
        <w:tc>
          <w:tcPr>
            <w:tcW w:w="20" w:type="dxa"/>
            <w:vAlign w:val="bottom"/>
            <w:tcBorders>
              <w:top w:val="single" w:sz="8" w:color="auto"/>
              <w:bottom w:val="single" w:sz="8" w:color="EAEAEA"/>
            </w:tcBorders>
          </w:tcPr>
          <w:p>
            <w:pPr>
              <w:spacing w:after="0"/>
              <w:rPr>
                <w:sz w:val="17"/>
                <w:szCs w:val="17"/>
                <w:color w:val="auto"/>
              </w:rPr>
            </w:pPr>
          </w:p>
        </w:tc>
        <w:tc>
          <w:tcPr>
            <w:tcW w:w="20" w:type="dxa"/>
            <w:vAlign w:val="bottom"/>
            <w:tcBorders>
              <w:top w:val="single" w:sz="8" w:color="auto"/>
              <w:bottom w:val="single" w:sz="8" w:color="EAEAEA"/>
            </w:tcBorders>
          </w:tcPr>
          <w:p>
            <w:pPr>
              <w:spacing w:after="0"/>
              <w:rPr>
                <w:sz w:val="17"/>
                <w:szCs w:val="17"/>
                <w:color w:val="auto"/>
              </w:rPr>
            </w:pPr>
          </w:p>
        </w:tc>
        <w:tc>
          <w:tcPr>
            <w:tcW w:w="40" w:type="dxa"/>
            <w:vAlign w:val="bottom"/>
            <w:tcBorders>
              <w:top w:val="single" w:sz="8" w:color="auto"/>
              <w:bottom w:val="single" w:sz="8" w:color="EAEAEA"/>
            </w:tcBorders>
          </w:tcPr>
          <w:p>
            <w:pPr>
              <w:spacing w:after="0"/>
              <w:rPr>
                <w:sz w:val="17"/>
                <w:szCs w:val="17"/>
                <w:color w:val="auto"/>
              </w:rPr>
            </w:pPr>
          </w:p>
        </w:tc>
        <w:tc>
          <w:tcPr>
            <w:tcW w:w="160" w:type="dxa"/>
            <w:vAlign w:val="bottom"/>
            <w:tcBorders>
              <w:bottom w:val="single" w:sz="8" w:color="EAEAEA"/>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EAEAEA"/>
            </w:tcBorders>
          </w:tcPr>
          <w:p>
            <w:pPr>
              <w:spacing w:after="0"/>
              <w:rPr>
                <w:sz w:val="17"/>
                <w:szCs w:val="17"/>
                <w:color w:val="auto"/>
              </w:rPr>
            </w:pPr>
          </w:p>
        </w:tc>
        <w:tc>
          <w:tcPr>
            <w:tcW w:w="40" w:type="dxa"/>
            <w:vAlign w:val="bottom"/>
            <w:tcBorders>
              <w:top w:val="single" w:sz="8" w:color="auto"/>
              <w:bottom w:val="single" w:sz="8" w:color="EAEAEA"/>
            </w:tcBorders>
          </w:tcPr>
          <w:p>
            <w:pPr>
              <w:spacing w:after="0"/>
              <w:rPr>
                <w:sz w:val="17"/>
                <w:szCs w:val="17"/>
                <w:color w:val="auto"/>
              </w:rPr>
            </w:pPr>
          </w:p>
        </w:tc>
        <w:tc>
          <w:tcPr>
            <w:tcW w:w="40" w:type="dxa"/>
            <w:vAlign w:val="bottom"/>
            <w:tcBorders>
              <w:top w:val="single" w:sz="8" w:color="auto"/>
              <w:bottom w:val="single" w:sz="8" w:color="EAEAEA"/>
            </w:tcBorders>
          </w:tcPr>
          <w:p>
            <w:pPr>
              <w:spacing w:after="0"/>
              <w:rPr>
                <w:sz w:val="17"/>
                <w:szCs w:val="17"/>
                <w:color w:val="auto"/>
              </w:rPr>
            </w:pPr>
          </w:p>
        </w:tc>
        <w:tc>
          <w:tcPr>
            <w:tcW w:w="120" w:type="dxa"/>
            <w:vAlign w:val="bottom"/>
            <w:tcBorders>
              <w:bottom w:val="single" w:sz="8" w:color="EAEAEA"/>
            </w:tcBorders>
          </w:tcPr>
          <w:p>
            <w:pPr>
              <w:spacing w:after="0"/>
              <w:rPr>
                <w:sz w:val="17"/>
                <w:szCs w:val="17"/>
                <w:color w:val="auto"/>
              </w:rPr>
            </w:pPr>
          </w:p>
        </w:tc>
        <w:tc>
          <w:tcPr>
            <w:tcW w:w="40" w:type="dxa"/>
            <w:vAlign w:val="bottom"/>
            <w:tcBorders>
              <w:bottom w:val="single" w:sz="8" w:color="EAEAEA"/>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EAEAEA"/>
            </w:tcBorders>
          </w:tcPr>
          <w:p>
            <w:pPr>
              <w:spacing w:after="0"/>
              <w:rPr>
                <w:sz w:val="17"/>
                <w:szCs w:val="17"/>
                <w:color w:val="auto"/>
              </w:rPr>
            </w:pPr>
          </w:p>
        </w:tc>
        <w:tc>
          <w:tcPr>
            <w:tcW w:w="20" w:type="dxa"/>
            <w:vAlign w:val="bottom"/>
            <w:tcBorders>
              <w:bottom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00" w:type="dxa"/>
            <w:vAlign w:val="bottom"/>
            <w:tcBorders>
              <w:bottom w:val="single" w:sz="8" w:color="EAEAEA"/>
            </w:tcBorders>
            <w:shd w:val="clear" w:color="auto" w:fill="EAEAEA"/>
          </w:tcPr>
          <w:p>
            <w:pPr>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Net earnings attributable to Kirby</w:t>
            </w: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0" w:type="dxa"/>
            <w:vAlign w:val="bottom"/>
            <w:tcBorders>
              <w:bottom w:val="single" w:sz="8" w:color="EAEAEA"/>
            </w:tcBorders>
            <w:gridSpan w:val="5"/>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354,569</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000" w:type="dxa"/>
            <w:vAlign w:val="bottom"/>
            <w:tcBorders>
              <w:bottom w:val="single" w:sz="8" w:color="EAEAEA"/>
            </w:tcBorders>
            <w:gridSpan w:val="4"/>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286,707</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0" w:type="dxa"/>
            <w:vAlign w:val="bottom"/>
            <w:tcBorders>
              <w:bottom w:val="single" w:sz="8" w:color="EAEAEA"/>
            </w:tcBorders>
            <w:gridSpan w:val="3"/>
            <w:shd w:val="clear" w:color="auto" w:fill="EAEAEA"/>
          </w:tcPr>
          <w:p>
            <w:pPr>
              <w:jc w:val="right"/>
              <w:spacing w:after="0" w:line="211" w:lineRule="exact"/>
              <w:rPr>
                <w:sz w:val="20"/>
                <w:szCs w:val="20"/>
                <w:color w:val="auto"/>
              </w:rPr>
            </w:pPr>
            <w:r>
              <w:rPr>
                <w:rFonts w:ascii="Times New Roman" w:cs="Times New Roman" w:eastAsia="Times New Roman" w:hAnsi="Times New Roman"/>
                <w:sz w:val="20"/>
                <w:szCs w:val="20"/>
                <w:color w:val="auto"/>
                <w:shd w:val="clear" w:color="auto" w:fill="EAEAEA"/>
              </w:rPr>
              <w:t>222,935</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Undistributed earnings allocated to restricted shares</w:t>
            </w:r>
          </w:p>
        </w:tc>
        <w:tc>
          <w:tcPr>
            <w:tcW w:w="80" w:type="dxa"/>
            <w:vAlign w:val="bottom"/>
          </w:tcPr>
          <w:p>
            <w:pPr>
              <w:spacing w:after="0"/>
              <w:rPr>
                <w:sz w:val="5"/>
                <w:szCs w:val="5"/>
                <w:color w:val="auto"/>
              </w:rPr>
            </w:pPr>
          </w:p>
        </w:tc>
        <w:tc>
          <w:tcPr>
            <w:tcW w:w="8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gridSpan w:val="2"/>
          </w:tcPr>
          <w:p>
            <w:pPr>
              <w:spacing w:after="0"/>
              <w:rPr>
                <w:sz w:val="5"/>
                <w:szCs w:val="5"/>
                <w:color w:val="auto"/>
              </w:rPr>
            </w:pPr>
          </w:p>
        </w:tc>
        <w:tc>
          <w:tcPr>
            <w:tcW w:w="4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EAEAEA"/>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2"/>
              </w:rPr>
              <w:t>(51</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gridSpan w:val="2"/>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tcBorders>
              <w:bottom w:val="single" w:sz="8" w:color="EAEAEA"/>
            </w:tcBorders>
            <w:vMerge w:val="continue"/>
          </w:tcPr>
          <w:p>
            <w:pPr>
              <w:spacing w:after="0"/>
              <w:rPr>
                <w:sz w:val="15"/>
                <w:szCs w:val="15"/>
                <w:color w:val="auto"/>
              </w:rPr>
            </w:pPr>
          </w:p>
        </w:tc>
        <w:tc>
          <w:tcPr>
            <w:tcW w:w="160" w:type="dxa"/>
            <w:vAlign w:val="bottom"/>
            <w:tcBorders>
              <w:bottom w:val="single" w:sz="8" w:color="EAEAEA"/>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9"/>
              </w:rPr>
              <w:t>(37</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tcBorders>
              <w:bottom w:val="single" w:sz="8" w:color="EAEAEA"/>
            </w:tcBorders>
            <w:vMerge w:val="continue"/>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40" w:type="dxa"/>
            <w:vAlign w:val="bottom"/>
            <w:tcBorders>
              <w:bottom w:val="single" w:sz="8" w:color="EAEAEA"/>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gridSpan w:val="2"/>
          </w:tcPr>
          <w:p>
            <w:pPr>
              <w:jc w:val="right"/>
              <w:ind w:right="20"/>
              <w:spacing w:after="0" w:line="182" w:lineRule="exact"/>
              <w:rPr>
                <w:sz w:val="20"/>
                <w:szCs w:val="20"/>
                <w:color w:val="auto"/>
              </w:rPr>
            </w:pPr>
            <w:r>
              <w:rPr>
                <w:rFonts w:ascii="Times New Roman" w:cs="Times New Roman" w:eastAsia="Times New Roman" w:hAnsi="Times New Roman"/>
                <w:sz w:val="20"/>
                <w:szCs w:val="20"/>
                <w:color w:val="auto"/>
                <w:highlight w:val="white"/>
                <w:w w:val="89"/>
              </w:rPr>
              <w:t>(62</w:t>
            </w:r>
          </w:p>
        </w:tc>
        <w:tc>
          <w:tcPr>
            <w:tcW w:w="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Borders>
              <w:bottom w:val="single" w:sz="8" w:color="EAEAE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3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shd w:val="clear" w:color="auto" w:fill="EAEAEA"/>
              </w:rPr>
              <w:t>Earnings available to Kirby common stockholders — basic</w:t>
            </w:r>
          </w:p>
        </w:tc>
        <w:tc>
          <w:tcPr>
            <w:tcW w:w="80" w:type="dxa"/>
            <w:vAlign w:val="bottom"/>
            <w:shd w:val="clear" w:color="auto" w:fill="EAEAEA"/>
          </w:tcPr>
          <w:p>
            <w:pPr>
              <w:spacing w:after="0"/>
              <w:rPr>
                <w:sz w:val="20"/>
                <w:szCs w:val="20"/>
                <w:color w:val="auto"/>
              </w:rPr>
            </w:pPr>
          </w:p>
        </w:tc>
        <w:tc>
          <w:tcPr>
            <w:tcW w:w="118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354,518</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0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286,670</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20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222,873</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Undistributed earnings allocated to restricted shares</w:t>
            </w:r>
          </w:p>
        </w:tc>
        <w:tc>
          <w:tcPr>
            <w:tcW w:w="80" w:type="dxa"/>
            <w:vAlign w:val="bottom"/>
          </w:tcPr>
          <w:p>
            <w:pPr>
              <w:spacing w:after="0"/>
              <w:rPr>
                <w:sz w:val="21"/>
                <w:szCs w:val="21"/>
                <w:color w:val="auto"/>
              </w:rPr>
            </w:pPr>
          </w:p>
        </w:tc>
        <w:tc>
          <w:tcPr>
            <w:tcW w:w="12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Undistributed earnings reallocated to restricted shares</w:t>
            </w:r>
          </w:p>
        </w:tc>
        <w:tc>
          <w:tcPr>
            <w:tcW w:w="80" w:type="dxa"/>
            <w:vAlign w:val="bottom"/>
            <w:shd w:val="clear" w:color="auto" w:fill="EAEAEA"/>
          </w:tcPr>
          <w:p>
            <w:pPr>
              <w:spacing w:after="0"/>
              <w:rPr>
                <w:sz w:val="21"/>
                <w:szCs w:val="21"/>
                <w:color w:val="auto"/>
              </w:rPr>
            </w:pPr>
          </w:p>
        </w:tc>
        <w:tc>
          <w:tcPr>
            <w:tcW w:w="8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6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AEAEA"/>
              </w:rPr>
              <w:t>(50</w:t>
            </w:r>
          </w:p>
        </w:tc>
        <w:tc>
          <w:tcPr>
            <w:tcW w:w="40" w:type="dxa"/>
            <w:vAlign w:val="bottom"/>
            <w:gridSpan w:val="2"/>
            <w:shd w:val="clear" w:color="auto" w:fill="EAEAEA"/>
          </w:tcPr>
          <w:p>
            <w:pPr>
              <w:spacing w:after="0"/>
              <w:rPr>
                <w:sz w:val="21"/>
                <w:szCs w:val="21"/>
                <w:color w:val="auto"/>
              </w:rPr>
            </w:pPr>
          </w:p>
        </w:tc>
        <w:tc>
          <w:tcPr>
            <w:tcW w:w="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6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AEAEA"/>
              </w:rPr>
              <w:t>(36</w:t>
            </w:r>
          </w:p>
        </w:tc>
        <w:tc>
          <w:tcPr>
            <w:tcW w:w="40" w:type="dxa"/>
            <w:vAlign w:val="bottom"/>
            <w:gridSpan w:val="2"/>
            <w:shd w:val="clear" w:color="auto" w:fill="EAEAEA"/>
          </w:tcPr>
          <w:p>
            <w:pPr>
              <w:spacing w:after="0"/>
              <w:rPr>
                <w:sz w:val="21"/>
                <w:szCs w:val="21"/>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8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8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89"/>
                <w:shd w:val="clear" w:color="auto" w:fill="EAEAEA"/>
              </w:rPr>
              <w:t>(62</w:t>
            </w: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3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Earnings available to Kirby common stockholders — diluted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354,519</w:t>
            </w: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160" w:type="dxa"/>
            <w:vAlign w:val="bottom"/>
            <w:tcBorders>
              <w:bottom w:val="single" w:sz="8" w:color="EAEAEA"/>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286,671</w:t>
            </w:r>
          </w:p>
        </w:tc>
        <w:tc>
          <w:tcPr>
            <w:tcW w:w="2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12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222,873</w:t>
            </w: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8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6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8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Shares outstanding:</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Weighted average common stock issued and outstanding</w:t>
            </w:r>
          </w:p>
        </w:tc>
        <w:tc>
          <w:tcPr>
            <w:tcW w:w="80" w:type="dxa"/>
            <w:vAlign w:val="bottom"/>
            <w:shd w:val="clear" w:color="auto" w:fill="EAEAEA"/>
          </w:tcPr>
          <w:p>
            <w:pPr>
              <w:spacing w:after="0"/>
              <w:rPr>
                <w:sz w:val="21"/>
                <w:szCs w:val="21"/>
                <w:color w:val="auto"/>
              </w:rPr>
            </w:pPr>
          </w:p>
        </w:tc>
        <w:tc>
          <w:tcPr>
            <w:tcW w:w="118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55,701</w:t>
            </w: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00" w:type="dxa"/>
            <w:vAlign w:val="bottom"/>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57,954</w:t>
            </w: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20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59,548</w:t>
            </w: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unvested restricted stock</w:t>
            </w:r>
          </w:p>
        </w:tc>
        <w:tc>
          <w:tcPr>
            <w:tcW w:w="80" w:type="dxa"/>
            <w:vAlign w:val="bottom"/>
          </w:tcPr>
          <w:p>
            <w:pPr>
              <w:spacing w:after="0"/>
              <w:rPr>
                <w:sz w:val="5"/>
                <w:szCs w:val="5"/>
                <w:color w:val="auto"/>
              </w:rPr>
            </w:pPr>
          </w:p>
        </w:tc>
        <w:tc>
          <w:tcPr>
            <w:tcW w:w="860" w:type="dxa"/>
            <w:vAlign w:val="bottom"/>
            <w:vMerge w:val="restart"/>
          </w:tcPr>
          <w:p>
            <w:pPr>
              <w:spacing w:after="0"/>
              <w:rPr>
                <w:sz w:val="5"/>
                <w:szCs w:val="5"/>
                <w:color w:val="auto"/>
              </w:rPr>
            </w:pPr>
          </w:p>
        </w:tc>
        <w:tc>
          <w:tcPr>
            <w:tcW w:w="180" w:type="dxa"/>
            <w:vAlign w:val="bottom"/>
            <w:gridSpan w:val="2"/>
            <w:vMerge w:val="restart"/>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spacing w:after="0"/>
              <w:rPr>
                <w:sz w:val="5"/>
                <w:szCs w:val="5"/>
                <w:color w:val="auto"/>
              </w:rPr>
            </w:pPr>
          </w:p>
        </w:tc>
        <w:tc>
          <w:tcPr>
            <w:tcW w:w="180" w:type="dxa"/>
            <w:vAlign w:val="bottom"/>
            <w:gridSpan w:val="2"/>
            <w:vMerge w:val="restart"/>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3"/>
              </w:rPr>
              <w:t>(7</w:t>
            </w:r>
          </w:p>
        </w:tc>
        <w:tc>
          <w:tcPr>
            <w:tcW w:w="40" w:type="dxa"/>
            <w:vAlign w:val="bottom"/>
            <w:gridSpan w:val="2"/>
            <w:vMerge w:val="continue"/>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3"/>
              </w:rPr>
              <w:t>(7</w:t>
            </w:r>
          </w:p>
        </w:tc>
        <w:tc>
          <w:tcPr>
            <w:tcW w:w="40" w:type="dxa"/>
            <w:vAlign w:val="bottom"/>
            <w:gridSpan w:val="2"/>
            <w:vMerge w:val="continue"/>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9"/>
              </w:rPr>
              <w:t>(17</w:t>
            </w:r>
          </w:p>
        </w:tc>
        <w:tc>
          <w:tcPr>
            <w:tcW w:w="40" w:type="dxa"/>
            <w:vAlign w:val="bottom"/>
            <w:gridSpan w:val="2"/>
            <w:vMerge w:val="continue"/>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300" w:type="dxa"/>
            <w:vAlign w:val="bottom"/>
            <w:tcBorders>
              <w:top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shd w:val="clear" w:color="auto" w:fill="EAEAEA"/>
              </w:rPr>
              <w:t>Weighted average common stock outstanding — basic</w:t>
            </w:r>
          </w:p>
        </w:tc>
        <w:tc>
          <w:tcPr>
            <w:tcW w:w="80" w:type="dxa"/>
            <w:vAlign w:val="bottom"/>
            <w:tcBorders>
              <w:top w:val="single" w:sz="8" w:color="auto"/>
            </w:tcBorders>
            <w:shd w:val="clear" w:color="auto" w:fill="EAEAEA"/>
          </w:tcPr>
          <w:p>
            <w:pPr>
              <w:spacing w:after="0"/>
              <w:rPr>
                <w:sz w:val="20"/>
                <w:szCs w:val="20"/>
                <w:color w:val="auto"/>
              </w:rPr>
            </w:pPr>
          </w:p>
        </w:tc>
        <w:tc>
          <w:tcPr>
            <w:tcW w:w="1200" w:type="dxa"/>
            <w:vAlign w:val="bottom"/>
            <w:tcBorders>
              <w:top w:val="single" w:sz="8" w:color="auto"/>
            </w:tcBorders>
            <w:gridSpan w:val="5"/>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55,694</w:t>
            </w:r>
          </w:p>
        </w:tc>
        <w:tc>
          <w:tcPr>
            <w:tcW w:w="2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16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tcBorders>
            <w:shd w:val="clear" w:color="auto" w:fill="EAEAEA"/>
          </w:tcPr>
          <w:p>
            <w:pPr>
              <w:spacing w:after="0"/>
              <w:rPr>
                <w:sz w:val="20"/>
                <w:szCs w:val="20"/>
                <w:color w:val="auto"/>
              </w:rPr>
            </w:pPr>
          </w:p>
        </w:tc>
        <w:tc>
          <w:tcPr>
            <w:tcW w:w="1000" w:type="dxa"/>
            <w:vAlign w:val="bottom"/>
            <w:tcBorders>
              <w:top w:val="single" w:sz="8" w:color="auto"/>
            </w:tcBorders>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57,947</w:t>
            </w:r>
          </w:p>
        </w:tc>
        <w:tc>
          <w:tcPr>
            <w:tcW w:w="2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120" w:type="dxa"/>
            <w:vAlign w:val="bottom"/>
            <w:tcBorders>
              <w:top w:val="single" w:sz="8" w:color="EAEAEA"/>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auto"/>
            </w:tcBorders>
            <w:shd w:val="clear" w:color="auto" w:fill="EAEAEA"/>
          </w:tcPr>
          <w:p>
            <w:pPr>
              <w:spacing w:after="0"/>
              <w:rPr>
                <w:sz w:val="20"/>
                <w:szCs w:val="20"/>
                <w:color w:val="auto"/>
              </w:rPr>
            </w:pPr>
          </w:p>
        </w:tc>
        <w:tc>
          <w:tcPr>
            <w:tcW w:w="1200" w:type="dxa"/>
            <w:vAlign w:val="bottom"/>
            <w:tcBorders>
              <w:top w:val="single" w:sz="8" w:color="auto"/>
            </w:tcBorders>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59,531</w:t>
            </w:r>
          </w:p>
        </w:tc>
        <w:tc>
          <w:tcPr>
            <w:tcW w:w="2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auto"/>
            </w:tcBorders>
            <w:shd w:val="clear" w:color="auto" w:fill="EAEAEA"/>
          </w:tcPr>
          <w:p>
            <w:pPr>
              <w:spacing w:after="0"/>
              <w:rPr>
                <w:sz w:val="20"/>
                <w:szCs w:val="20"/>
                <w:color w:val="auto"/>
              </w:rPr>
            </w:pPr>
          </w:p>
        </w:tc>
        <w:tc>
          <w:tcPr>
            <w:tcW w:w="4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Dilutive effect of stock options and restricted stock units</w:t>
            </w: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351</w:t>
            </w:r>
          </w:p>
        </w:tc>
        <w:tc>
          <w:tcPr>
            <w:tcW w:w="2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12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326</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shd w:val="clear" w:color="auto" w:fill="EAEAEA"/>
              </w:rPr>
              <w:t>Weighted average common stock outstanding — diluted</w:t>
            </w:r>
          </w:p>
        </w:tc>
        <w:tc>
          <w:tcPr>
            <w:tcW w:w="80" w:type="dxa"/>
            <w:vAlign w:val="bottom"/>
            <w:tcBorders>
              <w:bottom w:val="single" w:sz="8" w:color="auto"/>
            </w:tcBorders>
            <w:shd w:val="clear" w:color="auto" w:fill="EAEAEA"/>
          </w:tcPr>
          <w:p>
            <w:pPr>
              <w:spacing w:after="0"/>
              <w:rPr>
                <w:sz w:val="20"/>
                <w:szCs w:val="20"/>
                <w:color w:val="auto"/>
              </w:rPr>
            </w:pPr>
          </w:p>
        </w:tc>
        <w:tc>
          <w:tcPr>
            <w:tcW w:w="1180" w:type="dxa"/>
            <w:vAlign w:val="bottom"/>
            <w:tcBorders>
              <w:bottom w:val="single" w:sz="8" w:color="auto"/>
            </w:tcBorders>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56,045</w:t>
            </w:r>
          </w:p>
        </w:tc>
        <w:tc>
          <w:tcPr>
            <w:tcW w:w="20" w:type="dxa"/>
            <w:vAlign w:val="bottom"/>
            <w:tcBorders>
              <w:bottom w:val="single" w:sz="8" w:color="auto"/>
            </w:tcBorders>
            <w:shd w:val="clear" w:color="auto" w:fill="EAEAEA"/>
          </w:tcPr>
          <w:p>
            <w:pPr>
              <w:spacing w:after="0"/>
              <w:rPr>
                <w:sz w:val="20"/>
                <w:szCs w:val="20"/>
                <w:color w:val="auto"/>
              </w:rPr>
            </w:pPr>
          </w:p>
        </w:tc>
        <w:tc>
          <w:tcPr>
            <w:tcW w:w="20" w:type="dxa"/>
            <w:vAlign w:val="bottom"/>
            <w:tcBorders>
              <w:bottom w:val="single" w:sz="8" w:color="auto"/>
            </w:tcBorders>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280" w:type="dxa"/>
            <w:vAlign w:val="bottom"/>
            <w:tcBorders>
              <w:bottom w:val="single" w:sz="8" w:color="auto"/>
            </w:tcBorders>
            <w:shd w:val="clear" w:color="auto" w:fill="EAEAEA"/>
          </w:tcPr>
          <w:p>
            <w:pPr>
              <w:spacing w:after="0"/>
              <w:rPr>
                <w:sz w:val="20"/>
                <w:szCs w:val="20"/>
                <w:color w:val="auto"/>
              </w:rPr>
            </w:pPr>
          </w:p>
        </w:tc>
        <w:tc>
          <w:tcPr>
            <w:tcW w:w="1000" w:type="dxa"/>
            <w:vAlign w:val="bottom"/>
            <w:tcBorders>
              <w:bottom w:val="single" w:sz="8" w:color="auto"/>
            </w:tcBorders>
            <w:gridSpan w:val="4"/>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58,355</w:t>
            </w:r>
          </w:p>
        </w:tc>
        <w:tc>
          <w:tcPr>
            <w:tcW w:w="20" w:type="dxa"/>
            <w:vAlign w:val="bottom"/>
            <w:tcBorders>
              <w:bottom w:val="single" w:sz="8" w:color="auto"/>
            </w:tcBorders>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80" w:type="dxa"/>
            <w:vAlign w:val="bottom"/>
            <w:tcBorders>
              <w:bottom w:val="single" w:sz="8" w:color="auto"/>
            </w:tcBorders>
            <w:shd w:val="clear" w:color="auto" w:fill="EAEAEA"/>
          </w:tcPr>
          <w:p>
            <w:pPr>
              <w:spacing w:after="0"/>
              <w:rPr>
                <w:sz w:val="20"/>
                <w:szCs w:val="20"/>
                <w:color w:val="auto"/>
              </w:rPr>
            </w:pPr>
          </w:p>
        </w:tc>
        <w:tc>
          <w:tcPr>
            <w:tcW w:w="1200" w:type="dxa"/>
            <w:vAlign w:val="bottom"/>
            <w:tcBorders>
              <w:bottom w:val="single" w:sz="8" w:color="auto"/>
            </w:tcBorders>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59,857</w:t>
            </w:r>
          </w:p>
        </w:tc>
        <w:tc>
          <w:tcPr>
            <w:tcW w:w="20" w:type="dxa"/>
            <w:vAlign w:val="bottom"/>
            <w:tcBorders>
              <w:bottom w:val="single" w:sz="8" w:color="auto"/>
            </w:tcBorders>
            <w:shd w:val="clear" w:color="auto" w:fill="EAEAEA"/>
          </w:tcPr>
          <w:p>
            <w:pPr>
              <w:spacing w:after="0"/>
              <w:rPr>
                <w:sz w:val="20"/>
                <w:szCs w:val="20"/>
                <w:color w:val="auto"/>
              </w:rPr>
            </w:pPr>
          </w:p>
        </w:tc>
        <w:tc>
          <w:tcPr>
            <w:tcW w:w="20" w:type="dxa"/>
            <w:vAlign w:val="bottom"/>
            <w:tcBorders>
              <w:bottom w:val="single" w:sz="8" w:color="auto"/>
            </w:tcBorders>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Net earnings per share attributable to Kirby common stockholders:</w:t>
            </w:r>
          </w:p>
        </w:tc>
        <w:tc>
          <w:tcPr>
            <w:tcW w:w="80" w:type="dxa"/>
            <w:vAlign w:val="bottom"/>
            <w:shd w:val="clear" w:color="auto" w:fill="EAEAEA"/>
          </w:tcPr>
          <w:p>
            <w:pPr>
              <w:spacing w:after="0"/>
              <w:rPr>
                <w:sz w:val="21"/>
                <w:szCs w:val="21"/>
                <w:color w:val="auto"/>
              </w:rPr>
            </w:pPr>
          </w:p>
        </w:tc>
        <w:tc>
          <w:tcPr>
            <w:tcW w:w="8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6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8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3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160" w:type="dxa"/>
            <w:vAlign w:val="bottom"/>
            <w:tcBorders>
              <w:bottom w:val="single" w:sz="8" w:color="EAEAEA"/>
            </w:tcBorders>
          </w:tcPr>
          <w:p>
            <w:pPr>
              <w:spacing w:after="0"/>
              <w:rPr>
                <w:sz w:val="24"/>
                <w:szCs w:val="24"/>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120" w:type="dxa"/>
            <w:vAlign w:val="bottom"/>
            <w:tcBorders>
              <w:bottom w:val="single" w:sz="8" w:color="EAEAEA"/>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3.74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AEAEA"/>
            </w:tcBorders>
          </w:tcPr>
          <w:p>
            <w:pPr>
              <w:spacing w:after="0"/>
              <w:rPr>
                <w:sz w:val="24"/>
                <w:szCs w:val="24"/>
                <w:color w:val="auto"/>
              </w:rPr>
            </w:pPr>
          </w:p>
        </w:tc>
        <w:tc>
          <w:tcPr>
            <w:tcW w:w="20" w:type="dxa"/>
            <w:vAlign w:val="bottom"/>
            <w:tcBorders>
              <w:bottom w:val="single" w:sz="8" w:color="EAEAEA"/>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EAEAEA"/>
            </w:tcBorders>
            <w:shd w:val="clear" w:color="auto" w:fill="EAEAEA"/>
          </w:tcPr>
          <w:p>
            <w:pPr>
              <w:ind w:left="200"/>
              <w:spacing w:after="0" w:line="188" w:lineRule="exact"/>
              <w:rPr>
                <w:sz w:val="20"/>
                <w:szCs w:val="20"/>
                <w:color w:val="auto"/>
              </w:rPr>
            </w:pPr>
            <w:r>
              <w:rPr>
                <w:rFonts w:ascii="Times New Roman" w:cs="Times New Roman" w:eastAsia="Times New Roman" w:hAnsi="Times New Roman"/>
                <w:sz w:val="20"/>
                <w:szCs w:val="20"/>
                <w:color w:val="auto"/>
                <w:shd w:val="clear" w:color="auto" w:fill="EAEAEA"/>
              </w:rPr>
              <w:t>Diluted</w:t>
            </w:r>
          </w:p>
        </w:tc>
        <w:tc>
          <w:tcPr>
            <w:tcW w:w="8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6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gridSpan w:val="3"/>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5"/>
                <w:shd w:val="clear" w:color="auto" w:fill="EAEAEA"/>
              </w:rPr>
              <w:t>6.33</w:t>
            </w:r>
          </w:p>
        </w:tc>
        <w:tc>
          <w:tcPr>
            <w:tcW w:w="40" w:type="dxa"/>
            <w:vAlign w:val="bottom"/>
            <w:tcBorders>
              <w:bottom w:val="single" w:sz="8" w:color="EAEAEA"/>
            </w:tcBorders>
            <w:gridSpan w:val="2"/>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66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gridSpan w:val="3"/>
            <w:shd w:val="clear" w:color="auto" w:fill="EAEAEA"/>
          </w:tcPr>
          <w:p>
            <w:pPr>
              <w:jc w:val="right"/>
              <w:spacing w:after="0" w:line="188" w:lineRule="exact"/>
              <w:rPr>
                <w:sz w:val="20"/>
                <w:szCs w:val="20"/>
                <w:color w:val="auto"/>
              </w:rPr>
            </w:pPr>
            <w:r>
              <w:rPr>
                <w:rFonts w:ascii="Times New Roman" w:cs="Times New Roman" w:eastAsia="Times New Roman" w:hAnsi="Times New Roman"/>
                <w:sz w:val="20"/>
                <w:szCs w:val="20"/>
                <w:color w:val="auto"/>
                <w:w w:val="85"/>
                <w:shd w:val="clear" w:color="auto" w:fill="EAEAEA"/>
              </w:rPr>
              <w:t>4.91</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6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gridSpan w:val="3"/>
            <w:shd w:val="clear" w:color="auto" w:fill="EAEAEA"/>
          </w:tcPr>
          <w:p>
            <w:pPr>
              <w:jc w:val="right"/>
              <w:ind w:right="20"/>
              <w:spacing w:after="0" w:line="188" w:lineRule="exact"/>
              <w:rPr>
                <w:sz w:val="20"/>
                <w:szCs w:val="20"/>
                <w:color w:val="auto"/>
              </w:rPr>
            </w:pPr>
            <w:r>
              <w:rPr>
                <w:rFonts w:ascii="Times New Roman" w:cs="Times New Roman" w:eastAsia="Times New Roman" w:hAnsi="Times New Roman"/>
                <w:sz w:val="20"/>
                <w:szCs w:val="20"/>
                <w:color w:val="auto"/>
                <w:w w:val="91"/>
                <w:shd w:val="clear" w:color="auto" w:fill="EAEAEA"/>
              </w:rPr>
              <w:t>3.72</w:t>
            </w: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-2943225</wp:posOffset>
            </wp:positionV>
            <wp:extent cx="2834640"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7">
                      <a:extLst>
                        <a:ext uri="{28A0092B-C50C-407E-A947-70E740481C1C}"/>
                      </a:extLst>
                    </a:blip>
                    <a:srcRect/>
                    <a:stretch>
                      <a:fillRect/>
                    </a:stretch>
                  </pic:blipFill>
                  <pic:spPr bwMode="auto">
                    <a:xfrm>
                      <a:off x="0" y="0"/>
                      <a:ext cx="2834640" cy="34925"/>
                    </a:xfrm>
                    <a:prstGeom prst="rect">
                      <a:avLst/>
                    </a:prstGeom>
                    <a:noFill/>
                  </pic:spPr>
                </pic:pic>
              </a:graphicData>
            </a:graphic>
          </wp:anchor>
        </w:drawing>
      </w:r>
    </w:p>
    <w:p>
      <w:pPr>
        <w:spacing w:after="0" w:line="19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Diluted earnings per share was computed using the treasury stock method. Certain outstanding options to purchase approximately 33,000 shares of common stock were excluded in the computation of diluted earnings per share as of December 31, 2023 as such stock options would have been antidilutive. No options were antidilutive at December 31, 2025 and 2024. No RSUs were antidilutive at December 31, 2025, 2024 and 2023.</w:t>
      </w:r>
    </w:p>
    <w:p>
      <w:pPr>
        <w:sectPr>
          <w:pgSz w:w="12240" w:h="15840" w:orient="portrait"/>
          <w:cols w:equalWidth="0" w:num="1">
            <w:col w:w="10800"/>
          </w:cols>
          <w:pgMar w:left="720" w:top="92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929" w:right="72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(11) Inventories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details of inventories — net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7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gridSpan w:val="5"/>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980" w:type="dxa"/>
            <w:vAlign w:val="bottom"/>
            <w:gridSpan w:val="2"/>
            <w:vMerge w:val="restart"/>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820" w:type="dxa"/>
            <w:vAlign w:val="bottom"/>
            <w:tcBorders>
              <w:bottom w:val="single" w:sz="8" w:color="EAEAEA"/>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20" w:type="dxa"/>
            <w:vAlign w:val="bottom"/>
            <w:tcBorders>
              <w:bottom w:val="single" w:sz="8" w:color="EAEAEA"/>
            </w:tcBorders>
            <w:shd w:val="clear" w:color="auto" w:fill="EAEAEA"/>
          </w:tcPr>
          <w:p>
            <w:pPr>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Finished goods</w:t>
            </w:r>
          </w:p>
        </w:tc>
        <w:tc>
          <w:tcPr>
            <w:tcW w:w="300" w:type="dxa"/>
            <w:vAlign w:val="bottom"/>
            <w:tcBorders>
              <w:bottom w:val="single" w:sz="8" w:color="EAEAEA"/>
            </w:tcBorders>
            <w:shd w:val="clear" w:color="auto" w:fill="EAEAEA"/>
          </w:tcPr>
          <w:p>
            <w:pPr>
              <w:jc w:val="right"/>
              <w:ind w:right="100"/>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20" w:type="dxa"/>
            <w:vAlign w:val="bottom"/>
            <w:tcBorders>
              <w:bottom w:val="single" w:sz="8" w:color="EAEAEA"/>
            </w:tcBorders>
            <w:gridSpan w:val="3"/>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340,740</w:t>
            </w:r>
          </w:p>
        </w:tc>
        <w:tc>
          <w:tcPr>
            <w:tcW w:w="2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340" w:type="dxa"/>
            <w:vAlign w:val="bottom"/>
            <w:tcBorders>
              <w:bottom w:val="single" w:sz="8" w:color="EAEAEA"/>
            </w:tcBorders>
            <w:shd w:val="clear" w:color="auto" w:fill="EAEAEA"/>
          </w:tcPr>
          <w:p>
            <w:pPr>
              <w:jc w:val="right"/>
              <w:ind w:right="140"/>
              <w:spacing w:after="0" w:line="19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980" w:type="dxa"/>
            <w:vAlign w:val="bottom"/>
            <w:tcBorders>
              <w:bottom w:val="single" w:sz="8" w:color="EAEAEA"/>
            </w:tcBorders>
            <w:gridSpan w:val="2"/>
            <w:shd w:val="clear" w:color="auto" w:fill="EAEAEA"/>
          </w:tcPr>
          <w:p>
            <w:pPr>
              <w:jc w:val="right"/>
              <w:spacing w:after="0" w:line="197" w:lineRule="exact"/>
              <w:rPr>
                <w:sz w:val="20"/>
                <w:szCs w:val="20"/>
                <w:color w:val="auto"/>
              </w:rPr>
            </w:pPr>
            <w:r>
              <w:rPr>
                <w:rFonts w:ascii="Times New Roman" w:cs="Times New Roman" w:eastAsia="Times New Roman" w:hAnsi="Times New Roman"/>
                <w:sz w:val="20"/>
                <w:szCs w:val="20"/>
                <w:color w:val="auto"/>
                <w:shd w:val="clear" w:color="auto" w:fill="EAEAEA"/>
              </w:rPr>
              <w:t>328,540</w:t>
            </w: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78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Work in process</w:t>
            </w:r>
          </w:p>
        </w:tc>
        <w:tc>
          <w:tcPr>
            <w:tcW w:w="300" w:type="dxa"/>
            <w:vAlign w:val="bottom"/>
          </w:tcPr>
          <w:p>
            <w:pPr>
              <w:spacing w:after="0"/>
              <w:rPr>
                <w:sz w:val="4"/>
                <w:szCs w:val="4"/>
                <w:color w:val="auto"/>
              </w:rPr>
            </w:pPr>
          </w:p>
        </w:tc>
        <w:tc>
          <w:tcPr>
            <w:tcW w:w="500" w:type="dxa"/>
            <w:vAlign w:val="bottom"/>
            <w:vMerge w:val="restart"/>
          </w:tcPr>
          <w:p>
            <w:pPr>
              <w:spacing w:after="0"/>
              <w:rPr>
                <w:sz w:val="4"/>
                <w:szCs w:val="4"/>
                <w:color w:val="auto"/>
              </w:rPr>
            </w:pPr>
          </w:p>
        </w:tc>
        <w:tc>
          <w:tcPr>
            <w:tcW w:w="5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5"/>
              </w:rPr>
              <w:t>57,286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highlight w:val="white"/>
                <w:w w:val="95"/>
              </w:rPr>
              <w:t>65,358</w:t>
            </w: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EAEAEA"/>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2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ind w:right="100"/>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1020" w:type="dxa"/>
            <w:vAlign w:val="bottom"/>
            <w:tcBorders>
              <w:bottom w:val="single" w:sz="8" w:color="EAEAEA"/>
            </w:tcBorders>
            <w:gridSpan w:val="3"/>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398,026</w:t>
            </w:r>
          </w:p>
        </w:tc>
        <w:tc>
          <w:tcPr>
            <w:tcW w:w="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jc w:val="right"/>
              <w:ind w:right="140"/>
              <w:spacing w:after="0" w:line="187"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980" w:type="dxa"/>
            <w:vAlign w:val="bottom"/>
            <w:tcBorders>
              <w:bottom w:val="single" w:sz="8" w:color="EAEAEA"/>
            </w:tcBorders>
            <w:gridSpan w:val="2"/>
            <w:shd w:val="clear" w:color="auto" w:fill="EAEAEA"/>
          </w:tcPr>
          <w:p>
            <w:pPr>
              <w:jc w:val="right"/>
              <w:spacing w:after="0" w:line="187" w:lineRule="exact"/>
              <w:rPr>
                <w:sz w:val="20"/>
                <w:szCs w:val="20"/>
                <w:color w:val="auto"/>
              </w:rPr>
            </w:pPr>
            <w:r>
              <w:rPr>
                <w:rFonts w:ascii="Times New Roman" w:cs="Times New Roman" w:eastAsia="Times New Roman" w:hAnsi="Times New Roman"/>
                <w:sz w:val="20"/>
                <w:szCs w:val="20"/>
                <w:color w:val="auto"/>
                <w:shd w:val="clear" w:color="auto" w:fill="EAEAEA"/>
              </w:rPr>
              <w:t>393,898</w:t>
            </w:r>
          </w:p>
        </w:tc>
        <w:tc>
          <w:tcPr>
            <w:tcW w:w="2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4956175</wp:posOffset>
            </wp:positionH>
            <wp:positionV relativeFrom="paragraph">
              <wp:posOffset>-624205</wp:posOffset>
            </wp:positionV>
            <wp:extent cx="1873250"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38">
                      <a:extLst>
                        <a:ext uri="{28A0092B-C50C-407E-A947-70E740481C1C}"/>
                      </a:extLst>
                    </a:blip>
                    <a:srcRect/>
                    <a:stretch>
                      <a:fillRect/>
                    </a:stretch>
                  </pic:blipFill>
                  <pic:spPr bwMode="auto">
                    <a:xfrm>
                      <a:off x="0" y="0"/>
                      <a:ext cx="1873250" cy="3492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Retirement Plans</w:t>
      </w:r>
    </w:p>
    <w:p>
      <w:pPr>
        <w:spacing w:after="0" w:line="20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sponsors a defined benefit plan (the “Kirby Pension Plan”) for its inland vessel personnel and shore based tankermen. The plan benefits are based on an employee’s years of service and compensation. The plan assets consist primarily of equity and fixed income securities.</w:t>
      </w:r>
    </w:p>
    <w:p>
      <w:pPr>
        <w:spacing w:after="0" w:line="148" w:lineRule="exact"/>
        <w:rPr>
          <w:sz w:val="20"/>
          <w:szCs w:val="20"/>
          <w:color w:val="auto"/>
        </w:rPr>
      </w:pPr>
    </w:p>
    <w:p>
      <w:pPr>
        <w:jc w:val="both"/>
        <w:ind w:firstLine="353"/>
        <w:spacing w:after="0" w:line="255" w:lineRule="auto"/>
        <w:rPr>
          <w:sz w:val="20"/>
          <w:szCs w:val="20"/>
          <w:color w:val="auto"/>
        </w:rPr>
      </w:pPr>
      <w:r>
        <w:rPr>
          <w:rFonts w:ascii="Times New Roman" w:cs="Times New Roman" w:eastAsia="Times New Roman" w:hAnsi="Times New Roman"/>
          <w:sz w:val="20"/>
          <w:szCs w:val="20"/>
          <w:color w:val="auto"/>
        </w:rPr>
        <w:t>On April 12, 2017, the Company amended the Kirby Pension Plan to cease all benefit accruals for periods after May 31, 2017 for certain participants. Participants grandfathered and not impacted were those, as of the close of business on May 31, 2017, who either</w:t>
      </w:r>
    </w:p>
    <w:p>
      <w:pPr>
        <w:spacing w:after="0" w:line="248" w:lineRule="auto"/>
        <w:tabs>
          <w:tab w:leader="none" w:pos="27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completed 15 years of pension service or (b) had attained age 50 and completed 10 years of pension service. Participant non-grandfathered are eligible to receive discretionary 401(k) plan contributions.</w:t>
      </w:r>
    </w:p>
    <w:p>
      <w:pPr>
        <w:spacing w:after="0" w:line="15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$1.2 million, $1.7 million and $8.2 million for the years ended December 31, 2025, 2024, and 2023, respectively.</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aggregate fair value of plan assets of the Company’s pension plans was $461.2 million and $411.4 million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respectively. Pension assets were allocated among asset categories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Current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Minimum, Target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54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and Maximum</w:t>
            </w: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4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940" w:type="dxa"/>
            <w:vAlign w:val="bottom"/>
            <w:gridSpan w:val="4"/>
          </w:tcPr>
          <w:p>
            <w:pP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December 31,</w:t>
            </w:r>
          </w:p>
        </w:tc>
        <w:tc>
          <w:tcPr>
            <w:tcW w:w="5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4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9"/>
              </w:rPr>
              <w:t>Allocation Policy</w:t>
            </w:r>
          </w:p>
        </w:tc>
        <w:tc>
          <w:tcPr>
            <w:tcW w:w="2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EAEAEA"/>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200" w:type="dxa"/>
            <w:vAlign w:val="bottom"/>
            <w:vMerge w:val="restart"/>
            <w:shd w:val="clear" w:color="auto" w:fill="EAEAEA"/>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4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U.S. equity securities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50%</w:t>
            </w:r>
          </w:p>
        </w:tc>
        <w:tc>
          <w:tcPr>
            <w:tcW w:w="160" w:type="dxa"/>
            <w:vAlign w:val="bottom"/>
          </w:tcPr>
          <w:p>
            <w:pPr>
              <w:spacing w:after="0"/>
              <w:rPr>
                <w:sz w:val="17"/>
                <w:szCs w:val="17"/>
                <w:color w:val="auto"/>
              </w:rPr>
            </w:pPr>
          </w:p>
        </w:tc>
        <w:tc>
          <w:tcPr>
            <w:tcW w:w="28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380" w:type="dxa"/>
            <w:vAlign w:val="bottom"/>
            <w:tcBorders>
              <w:bottom w:val="single" w:sz="8" w:color="EAEAEA"/>
            </w:tcBorders>
            <w:shd w:val="clear" w:color="auto" w:fill="EAEAEA"/>
          </w:tcPr>
          <w:p>
            <w:pPr>
              <w:jc w:val="center"/>
              <w:ind w:left="80"/>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EAEAEA"/>
              </w:rPr>
              <w:t>51</w:t>
            </w:r>
          </w:p>
        </w:tc>
        <w:tc>
          <w:tcPr>
            <w:tcW w:w="16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w w:val="83"/>
                <w:shd w:val="clear" w:color="auto" w:fill="EAEAEA"/>
              </w:rPr>
              <w:t>%</w:t>
            </w:r>
          </w:p>
        </w:tc>
        <w:tc>
          <w:tcPr>
            <w:tcW w:w="200" w:type="dxa"/>
            <w:vAlign w:val="bottom"/>
            <w:tcBorders>
              <w:bottom w:val="single" w:sz="8" w:color="EAEAEA"/>
            </w:tcBorders>
            <w:vMerge w:val="continue"/>
            <w:shd w:val="clear" w:color="auto" w:fill="EAEAEA"/>
          </w:tcPr>
          <w:p>
            <w:pPr>
              <w:spacing w:after="0"/>
              <w:rPr>
                <w:sz w:val="17"/>
                <w:szCs w:val="17"/>
                <w:color w:val="auto"/>
              </w:rPr>
            </w:pPr>
          </w:p>
        </w:tc>
        <w:tc>
          <w:tcPr>
            <w:tcW w:w="10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45%</w:t>
            </w:r>
          </w:p>
        </w:tc>
        <w:tc>
          <w:tcPr>
            <w:tcW w:w="1020" w:type="dxa"/>
            <w:vAlign w:val="bottom"/>
            <w:tcBorders>
              <w:bottom w:val="single" w:sz="8" w:color="EAEAEA"/>
              <w:right w:val="single" w:sz="8" w:color="EAEAEA"/>
            </w:tcBorders>
            <w:shd w:val="clear" w:color="auto" w:fill="EAEAEA"/>
          </w:tcPr>
          <w:p>
            <w:pPr>
              <w:ind w:left="340"/>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 50%</w:t>
            </w:r>
          </w:p>
        </w:tc>
        <w:tc>
          <w:tcPr>
            <w:tcW w:w="260" w:type="dxa"/>
            <w:vAlign w:val="bottom"/>
            <w:tcBorders>
              <w:bottom w:val="single" w:sz="8" w:color="EAEAEA"/>
            </w:tcBorders>
            <w:shd w:val="clear" w:color="auto" w:fill="EAEAEA"/>
          </w:tcPr>
          <w:p>
            <w:pPr>
              <w:spacing w:after="0"/>
              <w:rPr>
                <w:sz w:val="17"/>
                <w:szCs w:val="17"/>
                <w:color w:val="auto"/>
              </w:rPr>
            </w:pPr>
          </w:p>
        </w:tc>
        <w:tc>
          <w:tcPr>
            <w:tcW w:w="62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20"/>
                <w:szCs w:val="20"/>
                <w:color w:val="auto"/>
                <w:w w:val="97"/>
                <w:shd w:val="clear" w:color="auto" w:fill="EAEAEA"/>
              </w:rPr>
              <w:t>— 55%</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equity securities</w:t>
            </w:r>
          </w:p>
        </w:tc>
        <w:tc>
          <w:tcPr>
            <w:tcW w:w="8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20%</w:t>
            </w: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w w:val="97"/>
              </w:rPr>
              <w:t>— 28%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Debt securities</w:t>
            </w:r>
          </w:p>
        </w:tc>
        <w:tc>
          <w:tcPr>
            <w:tcW w:w="84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30</w:t>
            </w:r>
          </w:p>
        </w:tc>
        <w:tc>
          <w:tcPr>
            <w:tcW w:w="20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280" w:type="dxa"/>
            <w:vAlign w:val="bottom"/>
            <w:tcBorders>
              <w:bottom w:val="single" w:sz="8" w:color="EAEAEA"/>
            </w:tcBorders>
            <w:shd w:val="clear" w:color="auto" w:fill="EAEAEA"/>
          </w:tcPr>
          <w:p>
            <w:pPr>
              <w:spacing w:after="0"/>
              <w:rPr>
                <w:sz w:val="18"/>
                <w:szCs w:val="18"/>
                <w:color w:val="auto"/>
              </w:rPr>
            </w:pPr>
          </w:p>
        </w:tc>
        <w:tc>
          <w:tcPr>
            <w:tcW w:w="540" w:type="dxa"/>
            <w:vAlign w:val="bottom"/>
            <w:tcBorders>
              <w:bottom w:val="single" w:sz="8" w:color="EAEAEA"/>
            </w:tcBorders>
            <w:shd w:val="clear" w:color="auto" w:fill="EAEAEA"/>
          </w:tcPr>
          <w:p>
            <w:pPr>
              <w:spacing w:after="0"/>
              <w:rPr>
                <w:sz w:val="18"/>
                <w:szCs w:val="18"/>
                <w:color w:val="auto"/>
              </w:rPr>
            </w:pPr>
          </w:p>
        </w:tc>
        <w:tc>
          <w:tcPr>
            <w:tcW w:w="380" w:type="dxa"/>
            <w:vAlign w:val="bottom"/>
            <w:tcBorders>
              <w:bottom w:val="single" w:sz="8" w:color="EAEAEA"/>
            </w:tcBorders>
            <w:shd w:val="clear" w:color="auto" w:fill="EAEAEA"/>
          </w:tcPr>
          <w:p>
            <w:pPr>
              <w:jc w:val="center"/>
              <w:ind w:left="80"/>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EAEAEA"/>
              </w:rPr>
              <w:t>31</w:t>
            </w:r>
          </w:p>
        </w:tc>
        <w:tc>
          <w:tcPr>
            <w:tcW w:w="16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EAEAEA"/>
            </w:tcBorders>
            <w:shd w:val="clear" w:color="auto" w:fill="EAEAEA"/>
          </w:tcPr>
          <w:p>
            <w:pPr>
              <w:spacing w:after="0"/>
              <w:rPr>
                <w:sz w:val="18"/>
                <w:szCs w:val="18"/>
                <w:color w:val="auto"/>
              </w:rPr>
            </w:pPr>
          </w:p>
        </w:tc>
        <w:tc>
          <w:tcPr>
            <w:tcW w:w="880" w:type="dxa"/>
            <w:vAlign w:val="bottom"/>
            <w:tcBorders>
              <w:bottom w:val="single" w:sz="8" w:color="EAEAEA"/>
              <w:right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20</w:t>
            </w:r>
          </w:p>
        </w:tc>
        <w:tc>
          <w:tcPr>
            <w:tcW w:w="1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EAEAEA"/>
              </w:rPr>
              <w:t>%</w:t>
            </w:r>
          </w:p>
        </w:tc>
        <w:tc>
          <w:tcPr>
            <w:tcW w:w="1020" w:type="dxa"/>
            <w:vAlign w:val="bottom"/>
            <w:tcBorders>
              <w:bottom w:val="single" w:sz="8" w:color="EAEAEA"/>
              <w:right w:val="single" w:sz="8" w:color="EAEAEA"/>
            </w:tcBorders>
            <w:shd w:val="clear" w:color="auto" w:fill="EAEAEA"/>
          </w:tcPr>
          <w:p>
            <w:pPr>
              <w:ind w:left="34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 30%</w:t>
            </w:r>
          </w:p>
        </w:tc>
        <w:tc>
          <w:tcPr>
            <w:tcW w:w="260" w:type="dxa"/>
            <w:vAlign w:val="bottom"/>
            <w:tcBorders>
              <w:bottom w:val="single" w:sz="8" w:color="EAEAEA"/>
            </w:tcBorders>
            <w:shd w:val="clear" w:color="auto" w:fill="EAEAEA"/>
          </w:tcPr>
          <w:p>
            <w:pPr>
              <w:spacing w:after="0"/>
              <w:rPr>
                <w:sz w:val="18"/>
                <w:szCs w:val="18"/>
                <w:color w:val="auto"/>
              </w:rPr>
            </w:pPr>
          </w:p>
        </w:tc>
        <w:tc>
          <w:tcPr>
            <w:tcW w:w="62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w w:val="97"/>
                <w:shd w:val="clear" w:color="auto" w:fill="EAEAEA"/>
              </w:rPr>
              <w:t>— 40%</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0%</w:t>
            </w: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  0%</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EAEAEA"/>
            </w:tcBorders>
            <w:shd w:val="clear" w:color="auto" w:fill="EAEAEA"/>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line="184" w:lineRule="exact"/>
              <w:rPr>
                <w:sz w:val="20"/>
                <w:szCs w:val="20"/>
                <w:color w:val="auto"/>
              </w:rPr>
            </w:pPr>
            <w:r>
              <w:rPr>
                <w:rFonts w:ascii="Times New Roman" w:cs="Times New Roman" w:eastAsia="Times New Roman" w:hAnsi="Times New Roman"/>
                <w:sz w:val="20"/>
                <w:szCs w:val="20"/>
                <w:color w:val="auto"/>
                <w:w w:val="94"/>
              </w:rPr>
              <w:t>100%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20"/>
                <w:szCs w:val="20"/>
                <w:color w:val="auto"/>
              </w:rPr>
              <w:t>100%</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3008630</wp:posOffset>
                </wp:positionH>
                <wp:positionV relativeFrom="paragraph">
                  <wp:posOffset>-768350</wp:posOffset>
                </wp:positionV>
                <wp:extent cx="770255" cy="14605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6050"/>
                        </a:xfrm>
                        <a:prstGeom prst="rect">
                          <a:avLst/>
                        </a:prstGeom>
                        <a:solidFill>
                          <a:srgbClr val="EAEAEA"/>
                        </a:solidFill>
                      </wps:spPr>
                      <wps:bodyPr/>
                    </wps:wsp>
                  </a:graphicData>
                </a:graphic>
              </wp:anchor>
            </w:drawing>
          </mc:Choice>
          <mc:Fallback>
            <w:pict>
              <v:rect id="Shape 183" o:spid="_x0000_s1208" style="position:absolute;margin-left:236.9pt;margin-top:-60.4999pt;width:60.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3778885</wp:posOffset>
                </wp:positionH>
                <wp:positionV relativeFrom="paragraph">
                  <wp:posOffset>-777240</wp:posOffset>
                </wp:positionV>
                <wp:extent cx="229870" cy="15557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870" cy="155575"/>
                        </a:xfrm>
                        <a:prstGeom prst="rect">
                          <a:avLst/>
                        </a:prstGeom>
                        <a:solidFill>
                          <a:srgbClr val="EAEAEA"/>
                        </a:solidFill>
                      </wps:spPr>
                      <wps:bodyPr/>
                    </wps:wsp>
                  </a:graphicData>
                </a:graphic>
              </wp:anchor>
            </w:drawing>
          </mc:Choice>
          <mc:Fallback>
            <w:pict>
              <v:rect id="Shape 184" o:spid="_x0000_s1209" style="position:absolute;margin-left:297.55pt;margin-top:-61.1999pt;width:18.1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3778885</wp:posOffset>
                </wp:positionH>
                <wp:positionV relativeFrom="paragraph">
                  <wp:posOffset>-183515</wp:posOffset>
                </wp:positionV>
                <wp:extent cx="229870" cy="15557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870" cy="155575"/>
                        </a:xfrm>
                        <a:prstGeom prst="rect">
                          <a:avLst/>
                        </a:prstGeom>
                        <a:solidFill>
                          <a:srgbClr val="EAEAEA"/>
                        </a:solidFill>
                      </wps:spPr>
                      <wps:bodyPr/>
                    </wps:wsp>
                  </a:graphicData>
                </a:graphic>
              </wp:anchor>
            </w:drawing>
          </mc:Choice>
          <mc:Fallback>
            <w:pict>
              <v:rect id="Shape 185" o:spid="_x0000_s1210" style="position:absolute;margin-left:297.55pt;margin-top:-14.4499pt;width:18.1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4779010</wp:posOffset>
                </wp:positionH>
                <wp:positionV relativeFrom="paragraph">
                  <wp:posOffset>-183515</wp:posOffset>
                </wp:positionV>
                <wp:extent cx="2078990" cy="15557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8990" cy="155575"/>
                        </a:xfrm>
                        <a:prstGeom prst="rect">
                          <a:avLst/>
                        </a:prstGeom>
                        <a:solidFill>
                          <a:srgbClr val="EAEAEA"/>
                        </a:solidFill>
                      </wps:spPr>
                      <wps:bodyPr/>
                    </wps:wsp>
                  </a:graphicData>
                </a:graphic>
              </wp:anchor>
            </w:drawing>
          </mc:Choice>
          <mc:Fallback>
            <w:pict>
              <v:rect id="Shape 186" o:spid="_x0000_s1211" style="position:absolute;margin-left:376.3pt;margin-top:-14.4499pt;width:163.7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drawing>
          <wp:anchor simplePos="0" relativeHeight="251657728" behindDoc="1" locked="0" layoutInCell="0" allowOverlap="1">
            <wp:simplePos x="0" y="0"/>
            <wp:positionH relativeFrom="column">
              <wp:posOffset>2995930</wp:posOffset>
            </wp:positionH>
            <wp:positionV relativeFrom="paragraph">
              <wp:posOffset>-916305</wp:posOffset>
            </wp:positionV>
            <wp:extent cx="1795780"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9">
                      <a:extLst>
                        <a:ext uri="{28A0092B-C50C-407E-A947-70E740481C1C}"/>
                      </a:extLst>
                    </a:blip>
                    <a:srcRect/>
                    <a:stretch>
                      <a:fillRect/>
                    </a:stretch>
                  </pic:blipFill>
                  <pic:spPr bwMode="auto">
                    <a:xfrm>
                      <a:off x="0" y="0"/>
                      <a:ext cx="1795780" cy="3492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-789940</wp:posOffset>
            </wp:positionV>
            <wp:extent cx="1875155" cy="168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0">
                      <a:extLst>
                        <a:ext uri="{28A0092B-C50C-407E-A947-70E740481C1C}"/>
                      </a:extLst>
                    </a:blip>
                    <a:srcRect/>
                    <a:stretch>
                      <a:fillRect/>
                    </a:stretch>
                  </pic:blipFill>
                  <pic:spPr bwMode="auto">
                    <a:xfrm>
                      <a:off x="0" y="0"/>
                      <a:ext cx="1875155" cy="1682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3008630</wp:posOffset>
                </wp:positionH>
                <wp:positionV relativeFrom="paragraph">
                  <wp:posOffset>-174625</wp:posOffset>
                </wp:positionV>
                <wp:extent cx="770255" cy="14605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6050"/>
                        </a:xfrm>
                        <a:prstGeom prst="rect">
                          <a:avLst/>
                        </a:prstGeom>
                        <a:solidFill>
                          <a:srgbClr val="EAEAEA"/>
                        </a:solidFill>
                      </wps:spPr>
                      <wps:bodyPr/>
                    </wps:wsp>
                  </a:graphicData>
                </a:graphic>
              </wp:anchor>
            </w:drawing>
          </mc:Choice>
          <mc:Fallback>
            <w:pict>
              <v:rect id="Shape 189" o:spid="_x0000_s1214" style="position:absolute;margin-left:236.9pt;margin-top:-13.7499pt;width:60.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3602990</wp:posOffset>
                </wp:positionH>
                <wp:positionV relativeFrom="paragraph">
                  <wp:posOffset>-141605</wp:posOffset>
                </wp:positionV>
                <wp:extent cx="171450" cy="86995"/>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 cy="86995"/>
                        </a:xfrm>
                        <a:prstGeom prst="rect">
                          <a:avLst/>
                        </a:prstGeom>
                        <a:solidFill>
                          <a:srgbClr val="EAEAEA"/>
                        </a:solidFill>
                      </wps:spPr>
                      <wps:bodyPr/>
                    </wps:wsp>
                  </a:graphicData>
                </a:graphic>
              </wp:anchor>
            </w:drawing>
          </mc:Choice>
          <mc:Fallback>
            <w:pict>
              <v:rect id="Shape 190" o:spid="_x0000_s1215" style="position:absolute;margin-left:283.7pt;margin-top:-11.1499pt;width:13.5pt;height: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4008120</wp:posOffset>
                </wp:positionH>
                <wp:positionV relativeFrom="paragraph">
                  <wp:posOffset>-174625</wp:posOffset>
                </wp:positionV>
                <wp:extent cx="770255" cy="14605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6050"/>
                        </a:xfrm>
                        <a:prstGeom prst="rect">
                          <a:avLst/>
                        </a:prstGeom>
                        <a:solidFill>
                          <a:srgbClr val="EAEAEA"/>
                        </a:solidFill>
                      </wps:spPr>
                      <wps:bodyPr/>
                    </wps:wsp>
                  </a:graphicData>
                </a:graphic>
              </wp:anchor>
            </w:drawing>
          </mc:Choice>
          <mc:Fallback>
            <w:pict>
              <v:rect id="Shape 191" o:spid="_x0000_s1216" style="position:absolute;margin-left:315.6pt;margin-top:-13.7499pt;width:60.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4603115</wp:posOffset>
                </wp:positionH>
                <wp:positionV relativeFrom="paragraph">
                  <wp:posOffset>-141605</wp:posOffset>
                </wp:positionV>
                <wp:extent cx="170815" cy="86995"/>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815" cy="86995"/>
                        </a:xfrm>
                        <a:prstGeom prst="rect">
                          <a:avLst/>
                        </a:prstGeom>
                        <a:solidFill>
                          <a:srgbClr val="EAEAEA"/>
                        </a:solidFill>
                      </wps:spPr>
                      <wps:bodyPr/>
                    </wps:wsp>
                  </a:graphicData>
                </a:graphic>
              </wp:anchor>
            </w:drawing>
          </mc:Choice>
          <mc:Fallback>
            <w:pict>
              <v:rect id="Shape 192" o:spid="_x0000_s1217" style="position:absolute;margin-left:362.45pt;margin-top:-11.1499pt;width:13.45pt;height: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There were no investments within Level 3 of the valuation hierarchy at December 31, 2025 and 2024. Approximately $447.4 million of plan assets are invested in exchange traded funds and categorized within Level 1 on the valuation hierarchy based on quoted prices in active markets for identical assets. All other plan assets are invested in common collective trusts and valued using the net asset value per share practical expedient and therefore not valued within the valuation hierarchy.</w:t>
      </w:r>
    </w:p>
    <w:p>
      <w:pPr>
        <w:spacing w:after="0" w:line="15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Company’s investment strategy focuses on total return on invested assets (capital appreciation plus dividend and interest income). The primary objective in the investment management of assets is to achieve long-term growth of principal while avoidin excessive risk. Risk is managed through diversification of investments within and among asset classes, as well as by investing in asset classes offering sufficient liquidity and trading history.</w:t>
      </w:r>
    </w:p>
    <w:p>
      <w:pPr>
        <w:spacing w:after="0" w:line="154" w:lineRule="exact"/>
        <w:rPr>
          <w:sz w:val="20"/>
          <w:szCs w:val="20"/>
          <w:color w:val="auto"/>
        </w:rPr>
      </w:pPr>
    </w:p>
    <w:p>
      <w:pPr>
        <w:jc w:val="both"/>
        <w:ind w:firstLine="353"/>
        <w:spacing w:after="0" w:line="254" w:lineRule="auto"/>
        <w:rPr>
          <w:sz w:val="20"/>
          <w:szCs w:val="20"/>
          <w:color w:val="auto"/>
        </w:rPr>
      </w:pPr>
      <w:r>
        <w:rPr>
          <w:rFonts w:ascii="Times New Roman" w:cs="Times New Roman" w:eastAsia="Times New Roman" w:hAnsi="Times New Roman"/>
          <w:sz w:val="20"/>
          <w:szCs w:val="20"/>
          <w:color w:val="auto"/>
        </w:rPr>
        <w:t>The Company makes various assumptions when determining defined benefit plan costs including, but not limited to, the current discount rate and the expected long-term return on plan assets. Discount rates are determined annually and are based on a yield curv</w:t>
      </w:r>
    </w:p>
    <w:p>
      <w:pPr>
        <w:spacing w:after="0" w:line="1" w:lineRule="exact"/>
        <w:rPr>
          <w:sz w:val="20"/>
          <w:szCs w:val="20"/>
          <w:color w:val="auto"/>
        </w:rPr>
      </w:pPr>
    </w:p>
    <w:p>
      <w:pPr>
        <w:jc w:val="both"/>
        <w:ind w:firstLine="2"/>
        <w:spacing w:after="0" w:line="242" w:lineRule="auto"/>
        <w:rPr>
          <w:sz w:val="20"/>
          <w:szCs w:val="20"/>
          <w:color w:val="auto"/>
        </w:rPr>
      </w:pPr>
      <w:r>
        <w:rPr>
          <w:rFonts w:ascii="Times New Roman" w:cs="Times New Roman" w:eastAsia="Times New Roman" w:hAnsi="Times New Roman"/>
          <w:sz w:val="20"/>
          <w:szCs w:val="20"/>
          <w:color w:val="auto"/>
        </w:rPr>
        <w:t>that consists of a hypothetical portfolio of high quality corporate bonds with maturities matching the projected benefit cash f ows. The Company assumed that plan assets would generate a long-term rate of return of 6.75% in both 2025 and 2024.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6361430</wp:posOffset>
            </wp:positionH>
            <wp:positionV relativeFrom="paragraph">
              <wp:posOffset>-708660</wp:posOffset>
            </wp:positionV>
            <wp:extent cx="9525" cy="863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41">
                      <a:extLst>
                        <a:ext uri="{28A0092B-C50C-407E-A947-70E740481C1C}"/>
                      </a:extLst>
                    </a:blip>
                    <a:srcRect/>
                    <a:stretch>
                      <a:fillRect/>
                    </a:stretch>
                  </pic:blipFill>
                  <pic:spPr bwMode="auto">
                    <a:xfrm>
                      <a:off x="0" y="0"/>
                      <a:ext cx="9525" cy="86360"/>
                    </a:xfrm>
                    <a:prstGeom prst="rect">
                      <a:avLst/>
                    </a:prstGeom>
                    <a:noFill/>
                  </pic:spPr>
                </pic:pic>
              </a:graphicData>
            </a:graphic>
          </wp:anchor>
        </w:drawing>
      </w:r>
    </w:p>
    <w:p>
      <w:pPr>
        <w:spacing w:after="0" w:line="14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w:t>
      </w:r>
    </w:p>
    <w:p>
      <w:pPr>
        <w:sectPr>
          <w:pgSz w:w="12240" w:h="15840" w:orient="portrait"/>
          <w:cols w:equalWidth="0" w:num="1">
            <w:col w:w="10800"/>
          </w:cols>
          <w:pgMar w:left="720" w:top="926" w:right="720" w:bottom="187"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10800"/>
          </w:cols>
          <w:pgMar w:left="720" w:top="926" w:right="720" w:bottom="187" w:gutter="0" w:footer="0" w:header="0"/>
          <w:type w:val="continuous"/>
        </w:sectPr>
      </w:pPr>
    </w:p>
    <w:bookmarkStart w:id="84" w:name="page85"/>
    <w:bookmarkEnd w:id="84"/>
    <w:p>
      <w:pPr>
        <w:jc w:val="both"/>
        <w:ind w:firstLine="2"/>
        <w:spacing w:after="0" w:line="259" w:lineRule="auto"/>
        <w:rPr>
          <w:sz w:val="20"/>
          <w:szCs w:val="20"/>
          <w:color w:val="auto"/>
        </w:rPr>
      </w:pPr>
      <w:r>
        <w:rPr>
          <w:rFonts w:ascii="Times New Roman" w:cs="Times New Roman" w:eastAsia="Times New Roman" w:hAnsi="Times New Roman"/>
          <w:sz w:val="20"/>
          <w:szCs w:val="20"/>
          <w:color w:val="auto"/>
        </w:rPr>
        <w:t>making an accurate prediction of the pension plan contribution difficult. The Company’s pension plan funding was 142% of the pension plans’ accumulated benefit obligation at December 31, 2025, including both the Kirby Pension Plan and the Higman Pension Plan.</w:t>
      </w:r>
    </w:p>
    <w:p>
      <w:pPr>
        <w:spacing w:after="0" w:line="146"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6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change in benefit obligation and plan assets for the Company’s defined benefit plans and postretirement benefit plan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15"/>
          </w:tcPr>
          <w:p>
            <w:pPr>
              <w:ind w:left="1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1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Other Postretirement Benefits</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10"/>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Pension Plans</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7"/>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SERP</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Postretirement Welfare Plan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EAEAEA"/>
            </w:tcBorders>
          </w:tcPr>
          <w:p>
            <w:pPr>
              <w:spacing w:after="0"/>
              <w:rPr>
                <w:sz w:val="16"/>
                <w:szCs w:val="16"/>
                <w:color w:val="auto"/>
              </w:rPr>
            </w:pPr>
          </w:p>
        </w:tc>
        <w:tc>
          <w:tcPr>
            <w:tcW w:w="2340" w:type="dxa"/>
            <w:vAlign w:val="bottom"/>
            <w:tcBorders>
              <w:bottom w:val="single" w:sz="8" w:color="EAEAEA"/>
            </w:tcBorders>
          </w:tcPr>
          <w:p>
            <w:pPr>
              <w:spacing w:after="0"/>
              <w:rPr>
                <w:sz w:val="16"/>
                <w:szCs w:val="16"/>
                <w:color w:val="auto"/>
              </w:rPr>
            </w:pPr>
          </w:p>
        </w:tc>
        <w:tc>
          <w:tcPr>
            <w:tcW w:w="360" w:type="dxa"/>
            <w:vAlign w:val="bottom"/>
            <w:tcBorders>
              <w:bottom w:val="single" w:sz="8" w:color="EAEAEA"/>
            </w:tcBorders>
          </w:tcPr>
          <w:p>
            <w:pPr>
              <w:spacing w:after="0"/>
              <w:rPr>
                <w:sz w:val="16"/>
                <w:szCs w:val="16"/>
                <w:color w:val="auto"/>
              </w:rPr>
            </w:pPr>
          </w:p>
        </w:tc>
        <w:tc>
          <w:tcPr>
            <w:tcW w:w="64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60" w:type="dxa"/>
            <w:vAlign w:val="bottom"/>
            <w:tcBorders>
              <w:top w:val="single" w:sz="8" w:color="auto"/>
              <w:bottom w:val="single" w:sz="8" w:color="EAEAEA"/>
            </w:tcBorders>
          </w:tcPr>
          <w:p>
            <w:pPr>
              <w:spacing w:after="0"/>
              <w:rPr>
                <w:sz w:val="16"/>
                <w:szCs w:val="16"/>
                <w:color w:val="auto"/>
              </w:rPr>
            </w:pPr>
          </w:p>
        </w:tc>
        <w:tc>
          <w:tcPr>
            <w:tcW w:w="10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160" w:type="dxa"/>
            <w:vAlign w:val="bottom"/>
            <w:tcBorders>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160" w:type="dxa"/>
            <w:vAlign w:val="bottom"/>
            <w:tcBorders>
              <w:top w:val="single" w:sz="8" w:color="auto"/>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EAEAEA"/>
            </w:tcBorders>
          </w:tcPr>
          <w:p>
            <w:pPr>
              <w:spacing w:after="0"/>
              <w:rPr>
                <w:sz w:val="16"/>
                <w:szCs w:val="16"/>
                <w:color w:val="auto"/>
              </w:rPr>
            </w:pPr>
          </w:p>
        </w:tc>
        <w:tc>
          <w:tcPr>
            <w:tcW w:w="260" w:type="dxa"/>
            <w:vAlign w:val="bottom"/>
            <w:tcBorders>
              <w:bottom w:val="single" w:sz="8" w:color="EAEAEA"/>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160" w:type="dxa"/>
            <w:vAlign w:val="bottom"/>
            <w:tcBorders>
              <w:top w:val="single" w:sz="8" w:color="auto"/>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Change in benefit obligation</w:t>
            </w:r>
          </w:p>
        </w:tc>
        <w:tc>
          <w:tcPr>
            <w:tcW w:w="360" w:type="dxa"/>
            <w:vAlign w:val="bottom"/>
            <w:shd w:val="clear" w:color="auto" w:fill="EAEAEA"/>
          </w:tcPr>
          <w:p>
            <w:pPr>
              <w:spacing w:after="0"/>
              <w:rPr>
                <w:sz w:val="18"/>
                <w:szCs w:val="18"/>
                <w:color w:val="auto"/>
              </w:rPr>
            </w:pPr>
          </w:p>
        </w:tc>
        <w:tc>
          <w:tcPr>
            <w:tcW w:w="6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40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4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321,210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342,749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340" w:type="dxa"/>
            <w:vAlign w:val="bottom"/>
            <w:tcBorders>
              <w:bottom w:val="single" w:sz="8" w:color="EAEAEA"/>
            </w:tcBorders>
            <w:shd w:val="clear" w:color="auto" w:fill="EAEAEA"/>
          </w:tcPr>
          <w:p>
            <w:pPr>
              <w:ind w:left="20"/>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Service cost</w:t>
            </w:r>
          </w:p>
        </w:tc>
        <w:tc>
          <w:tcPr>
            <w:tcW w:w="36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2,966</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3,395</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6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40" w:type="dxa"/>
            <w:vAlign w:val="bottom"/>
            <w:tcBorders>
              <w:bottom w:val="single" w:sz="8" w:color="EAEAEA"/>
            </w:tcBorders>
            <w:gridSpan w:val="2"/>
            <w:shd w:val="clear" w:color="auto" w:fill="EAEAEA"/>
          </w:tcPr>
          <w:p>
            <w:pPr>
              <w:ind w:left="200"/>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Actuarial (gain) loss</w:t>
            </w:r>
          </w:p>
        </w:tc>
        <w:tc>
          <w:tcPr>
            <w:tcW w:w="36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10,381</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w w:val="90"/>
                <w:shd w:val="clear" w:color="auto" w:fill="EAEAEA"/>
              </w:rPr>
              <w:t>(26,541</w:t>
            </w:r>
          </w:p>
        </w:tc>
        <w:tc>
          <w:tcPr>
            <w:tcW w:w="40" w:type="dxa"/>
            <w:vAlign w:val="bottom"/>
            <w:tcBorders>
              <w:bottom w:val="single" w:sz="8" w:color="EAEAEA"/>
            </w:tcBorders>
            <w:gridSpan w:val="2"/>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42</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w w:val="83"/>
                <w:shd w:val="clear" w:color="auto" w:fill="EAEAEA"/>
              </w:rPr>
              <w:t>(33</w:t>
            </w: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2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24</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6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(3</w:t>
            </w:r>
          </w:p>
        </w:tc>
        <w:tc>
          <w:tcPr>
            <w:tcW w:w="60" w:type="dxa"/>
            <w:vAlign w:val="bottom"/>
            <w:tcBorders>
              <w:bottom w:val="single" w:sz="8" w:color="EAEAEA"/>
            </w:tcBorders>
            <w:gridSpan w:val="2"/>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5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rPr>
              <w:t>Gross benefits paid</w:t>
            </w:r>
          </w:p>
        </w:tc>
        <w:tc>
          <w:tcPr>
            <w:tcW w:w="80" w:type="dxa"/>
            <w:vAlign w:val="bottom"/>
          </w:tcPr>
          <w:p>
            <w:pPr>
              <w:spacing w:after="0"/>
              <w:rPr>
                <w:sz w:val="4"/>
                <w:szCs w:val="4"/>
                <w:color w:val="auto"/>
              </w:rPr>
            </w:pPr>
          </w:p>
        </w:tc>
        <w:tc>
          <w:tcPr>
            <w:tcW w:w="36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5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93"/>
              </w:rPr>
              <w:t>(17,057</w:t>
            </w:r>
          </w:p>
        </w:tc>
        <w:tc>
          <w:tcPr>
            <w:tcW w:w="40" w:type="dxa"/>
            <w:vAlign w:val="bottom"/>
            <w:gridSpan w:val="2"/>
            <w:vMerge w:val="continue"/>
          </w:tcPr>
          <w:p>
            <w:pPr>
              <w:spacing w:after="0"/>
              <w:rPr>
                <w:sz w:val="14"/>
                <w:szCs w:val="14"/>
                <w:color w:val="auto"/>
              </w:rPr>
            </w:pPr>
          </w:p>
        </w:tc>
        <w:tc>
          <w:tcPr>
            <w:tcW w:w="4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93"/>
              </w:rPr>
              <w:t>(15,572</w:t>
            </w:r>
          </w:p>
        </w:tc>
        <w:tc>
          <w:tcPr>
            <w:tcW w:w="40" w:type="dxa"/>
            <w:vAlign w:val="bottom"/>
            <w:gridSpan w:val="2"/>
            <w:vMerge w:val="continue"/>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0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84"/>
              </w:rPr>
              <w:t>(110</w:t>
            </w:r>
          </w:p>
        </w:tc>
        <w:tc>
          <w:tcPr>
            <w:tcW w:w="60" w:type="dxa"/>
            <w:vAlign w:val="bottom"/>
            <w:gridSpan w:val="2"/>
            <w:vMerge w:val="continue"/>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83"/>
              </w:rPr>
              <w:t>(68</w:t>
            </w:r>
          </w:p>
        </w:tc>
        <w:tc>
          <w:tcPr>
            <w:tcW w:w="20" w:type="dxa"/>
            <w:vAlign w:val="bottom"/>
            <w:vMerge w:val="continue"/>
          </w:tcPr>
          <w:p>
            <w:pPr>
              <w:spacing w:after="0"/>
              <w:rPr>
                <w:sz w:val="14"/>
                <w:szCs w:val="14"/>
                <w:color w:val="auto"/>
              </w:rPr>
            </w:pPr>
          </w:p>
        </w:tc>
        <w:tc>
          <w:tcPr>
            <w:tcW w:w="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83"/>
              </w:rPr>
              <w:t>(86</w:t>
            </w:r>
          </w:p>
        </w:tc>
        <w:tc>
          <w:tcPr>
            <w:tcW w:w="40" w:type="dxa"/>
            <w:vAlign w:val="bottom"/>
            <w:gridSpan w:val="2"/>
            <w:vMerge w:val="continue"/>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highlight w:val="white"/>
                <w:w w:val="83"/>
              </w:rPr>
              <w:t>(36</w:t>
            </w:r>
          </w:p>
        </w:tc>
        <w:tc>
          <w:tcPr>
            <w:tcW w:w="60" w:type="dxa"/>
            <w:vAlign w:val="bottom"/>
            <w:gridSpan w:val="2"/>
            <w:vMerge w:val="continue"/>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top w:val="single" w:sz="8" w:color="EAEAEA"/>
              <w:bottom w:val="single" w:sz="8" w:color="EAEAEA"/>
            </w:tcBorders>
            <w:shd w:val="clear" w:color="auto" w:fill="EAEAEA"/>
          </w:tcPr>
          <w:p>
            <w:pPr>
              <w:spacing w:after="0"/>
              <w:rPr>
                <w:sz w:val="18"/>
                <w:szCs w:val="18"/>
                <w:color w:val="auto"/>
              </w:rPr>
            </w:pPr>
          </w:p>
        </w:tc>
        <w:tc>
          <w:tcPr>
            <w:tcW w:w="2340" w:type="dxa"/>
            <w:vAlign w:val="bottom"/>
            <w:tcBorders>
              <w:top w:val="single" w:sz="8" w:color="EAEAEA"/>
              <w:bottom w:val="single" w:sz="8" w:color="EAEAEA"/>
            </w:tcBorders>
            <w:shd w:val="clear" w:color="auto" w:fill="EAEAEA"/>
          </w:tcPr>
          <w:p>
            <w:pPr>
              <w:spacing w:after="0" w:line="179" w:lineRule="exact"/>
              <w:rPr>
                <w:sz w:val="20"/>
                <w:szCs w:val="20"/>
                <w:color w:val="auto"/>
              </w:rPr>
            </w:pPr>
            <w:r>
              <w:rPr>
                <w:rFonts w:ascii="Times New Roman" w:cs="Times New Roman" w:eastAsia="Times New Roman" w:hAnsi="Times New Roman"/>
                <w:sz w:val="18"/>
                <w:szCs w:val="18"/>
                <w:color w:val="auto"/>
                <w:w w:val="99"/>
                <w:shd w:val="clear" w:color="auto" w:fill="EAEAEA"/>
              </w:rPr>
              <w:t>Benefit obligation at end of year</w:t>
            </w:r>
          </w:p>
        </w:tc>
        <w:tc>
          <w:tcPr>
            <w:tcW w:w="360" w:type="dxa"/>
            <w:vAlign w:val="bottom"/>
            <w:tcBorders>
              <w:top w:val="single" w:sz="8" w:color="EAEAEA"/>
              <w:bottom w:val="single" w:sz="8" w:color="EAEAEA"/>
            </w:tcBorders>
            <w:shd w:val="clear" w:color="auto" w:fill="EAEAEA"/>
          </w:tcPr>
          <w:p>
            <w:pPr>
              <w:spacing w:after="0"/>
              <w:rPr>
                <w:sz w:val="18"/>
                <w:szCs w:val="18"/>
                <w:color w:val="auto"/>
              </w:rPr>
            </w:pPr>
          </w:p>
        </w:tc>
        <w:tc>
          <w:tcPr>
            <w:tcW w:w="640" w:type="dxa"/>
            <w:vAlign w:val="bottom"/>
            <w:tcBorders>
              <w:top w:val="single" w:sz="8" w:color="EAEAEA"/>
              <w:bottom w:val="single" w:sz="8" w:color="EAEAEA"/>
            </w:tcBorders>
            <w:shd w:val="clear" w:color="auto" w:fill="EAEAEA"/>
          </w:tcPr>
          <w:p>
            <w:pPr>
              <w:spacing w:after="0"/>
              <w:rPr>
                <w:sz w:val="18"/>
                <w:szCs w:val="18"/>
                <w:color w:val="auto"/>
              </w:rPr>
            </w:pPr>
          </w:p>
        </w:tc>
        <w:tc>
          <w:tcPr>
            <w:tcW w:w="80" w:type="dxa"/>
            <w:vAlign w:val="bottom"/>
            <w:tcBorders>
              <w:top w:val="single" w:sz="8" w:color="auto"/>
              <w:bottom w:val="single" w:sz="8" w:color="EAEAEA"/>
            </w:tcBorders>
            <w:shd w:val="clear" w:color="auto" w:fill="EAEAEA"/>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00" w:type="dxa"/>
            <w:vAlign w:val="bottom"/>
            <w:tcBorders>
              <w:top w:val="single" w:sz="8" w:color="auto"/>
              <w:bottom w:val="single" w:sz="8" w:color="EAEAEA"/>
            </w:tcBorders>
            <w:gridSpan w:val="2"/>
            <w:shd w:val="clear" w:color="auto" w:fill="EAEAEA"/>
          </w:tcPr>
          <w:p>
            <w:pPr>
              <w:jc w:val="right"/>
              <w:spacing w:after="0" w:line="179" w:lineRule="exact"/>
              <w:rPr>
                <w:sz w:val="20"/>
                <w:szCs w:val="20"/>
                <w:color w:val="auto"/>
              </w:rPr>
            </w:pPr>
            <w:r>
              <w:rPr>
                <w:rFonts w:ascii="Times New Roman" w:cs="Times New Roman" w:eastAsia="Times New Roman" w:hAnsi="Times New Roman"/>
                <w:sz w:val="18"/>
                <w:szCs w:val="18"/>
                <w:color w:val="auto"/>
                <w:shd w:val="clear" w:color="auto" w:fill="EAEAEA"/>
              </w:rPr>
              <w:t>335,690</w:t>
            </w:r>
          </w:p>
        </w:tc>
        <w:tc>
          <w:tcPr>
            <w:tcW w:w="20" w:type="dxa"/>
            <w:vAlign w:val="bottom"/>
            <w:tcBorders>
              <w:top w:val="single" w:sz="8" w:color="auto"/>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40" w:type="dxa"/>
            <w:vAlign w:val="bottom"/>
            <w:tcBorders>
              <w:top w:val="single" w:sz="8" w:color="EAEAEA"/>
              <w:bottom w:val="single" w:sz="8" w:color="EAEAEA"/>
            </w:tcBorders>
            <w:shd w:val="clear" w:color="auto" w:fill="EAEAEA"/>
          </w:tcPr>
          <w:p>
            <w:pPr>
              <w:spacing w:after="0"/>
              <w:rPr>
                <w:sz w:val="18"/>
                <w:szCs w:val="18"/>
                <w:color w:val="auto"/>
              </w:rPr>
            </w:pPr>
          </w:p>
        </w:tc>
        <w:tc>
          <w:tcPr>
            <w:tcW w:w="60" w:type="dxa"/>
            <w:vAlign w:val="bottom"/>
            <w:tcBorders>
              <w:top w:val="single" w:sz="8" w:color="EAEAEA"/>
              <w:bottom w:val="single" w:sz="8" w:color="EAEAEA"/>
            </w:tcBorders>
            <w:shd w:val="clear" w:color="auto" w:fill="EAEAEA"/>
          </w:tcPr>
          <w:p>
            <w:pPr>
              <w:spacing w:after="0"/>
              <w:rPr>
                <w:sz w:val="18"/>
                <w:szCs w:val="18"/>
                <w:color w:val="auto"/>
              </w:rPr>
            </w:pPr>
          </w:p>
        </w:tc>
        <w:tc>
          <w:tcPr>
            <w:tcW w:w="100" w:type="dxa"/>
            <w:vAlign w:val="bottom"/>
            <w:tcBorders>
              <w:top w:val="single" w:sz="8" w:color="EAEAEA"/>
              <w:bottom w:val="single" w:sz="8" w:color="EAEAEA"/>
            </w:tcBorders>
            <w:shd w:val="clear" w:color="auto" w:fill="EAEAEA"/>
          </w:tcPr>
          <w:p>
            <w:pPr>
              <w:spacing w:after="0"/>
              <w:rPr>
                <w:sz w:val="18"/>
                <w:szCs w:val="18"/>
                <w:color w:val="auto"/>
              </w:rPr>
            </w:pPr>
          </w:p>
        </w:tc>
        <w:tc>
          <w:tcPr>
            <w:tcW w:w="100" w:type="dxa"/>
            <w:vAlign w:val="bottom"/>
            <w:tcBorders>
              <w:top w:val="single" w:sz="8" w:color="auto"/>
              <w:bottom w:val="single" w:sz="8" w:color="EAEAEA"/>
            </w:tcBorders>
            <w:shd w:val="clear" w:color="auto" w:fill="EAEAEA"/>
          </w:tcPr>
          <w:p>
            <w:pPr>
              <w:ind w:left="20"/>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00" w:type="dxa"/>
            <w:vAlign w:val="bottom"/>
            <w:tcBorders>
              <w:top w:val="single" w:sz="8" w:color="auto"/>
              <w:bottom w:val="single" w:sz="8" w:color="EAEAEA"/>
            </w:tcBorders>
            <w:gridSpan w:val="2"/>
            <w:shd w:val="clear" w:color="auto" w:fill="EAEAEA"/>
          </w:tcPr>
          <w:p>
            <w:pPr>
              <w:jc w:val="right"/>
              <w:spacing w:after="0" w:line="179" w:lineRule="exact"/>
              <w:rPr>
                <w:sz w:val="20"/>
                <w:szCs w:val="20"/>
                <w:color w:val="auto"/>
              </w:rPr>
            </w:pPr>
            <w:r>
              <w:rPr>
                <w:rFonts w:ascii="Times New Roman" w:cs="Times New Roman" w:eastAsia="Times New Roman" w:hAnsi="Times New Roman"/>
                <w:sz w:val="18"/>
                <w:szCs w:val="18"/>
                <w:color w:val="auto"/>
                <w:shd w:val="clear" w:color="auto" w:fill="EAEAEA"/>
              </w:rPr>
              <w:t>321,210</w:t>
            </w:r>
          </w:p>
        </w:tc>
        <w:tc>
          <w:tcPr>
            <w:tcW w:w="20" w:type="dxa"/>
            <w:vAlign w:val="bottom"/>
            <w:tcBorders>
              <w:top w:val="single" w:sz="8" w:color="auto"/>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160" w:type="dxa"/>
            <w:vAlign w:val="bottom"/>
            <w:tcBorders>
              <w:top w:val="single" w:sz="8" w:color="EAEAEA"/>
              <w:bottom w:val="single" w:sz="8" w:color="EAEAEA"/>
            </w:tcBorders>
            <w:shd w:val="clear" w:color="auto" w:fill="EAEAEA"/>
          </w:tcPr>
          <w:p>
            <w:pPr>
              <w:spacing w:after="0"/>
              <w:rPr>
                <w:sz w:val="18"/>
                <w:szCs w:val="18"/>
                <w:color w:val="auto"/>
              </w:rPr>
            </w:pPr>
          </w:p>
        </w:tc>
        <w:tc>
          <w:tcPr>
            <w:tcW w:w="120" w:type="dxa"/>
            <w:vAlign w:val="bottom"/>
            <w:tcBorders>
              <w:top w:val="single" w:sz="8" w:color="EAEAEA"/>
              <w:bottom w:val="single" w:sz="8" w:color="EAEAEA"/>
            </w:tcBorders>
            <w:shd w:val="clear" w:color="auto" w:fill="EAEAEA"/>
          </w:tcPr>
          <w:p>
            <w:pPr>
              <w:spacing w:after="0"/>
              <w:rPr>
                <w:sz w:val="18"/>
                <w:szCs w:val="18"/>
                <w:color w:val="auto"/>
              </w:rPr>
            </w:pPr>
          </w:p>
        </w:tc>
        <w:tc>
          <w:tcPr>
            <w:tcW w:w="180" w:type="dxa"/>
            <w:vAlign w:val="bottom"/>
            <w:tcBorders>
              <w:top w:val="single" w:sz="8" w:color="auto"/>
              <w:bottom w:val="single" w:sz="8" w:color="EAEAEA"/>
            </w:tcBorders>
            <w:shd w:val="clear" w:color="auto" w:fill="EAEAEA"/>
          </w:tcPr>
          <w:p>
            <w:pPr>
              <w:jc w:val="right"/>
              <w:ind w:right="15"/>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60" w:type="dxa"/>
            <w:vAlign w:val="bottom"/>
            <w:tcBorders>
              <w:top w:val="single" w:sz="8" w:color="auto"/>
              <w:bottom w:val="single" w:sz="8" w:color="EAEAEA"/>
            </w:tcBorders>
            <w:gridSpan w:val="2"/>
            <w:shd w:val="clear" w:color="auto" w:fill="EAEAEA"/>
          </w:tcPr>
          <w:p>
            <w:pPr>
              <w:spacing w:after="0"/>
              <w:rPr>
                <w:sz w:val="18"/>
                <w:szCs w:val="18"/>
                <w:color w:val="auto"/>
              </w:rPr>
            </w:pPr>
          </w:p>
        </w:tc>
        <w:tc>
          <w:tcPr>
            <w:tcW w:w="240" w:type="dxa"/>
            <w:vAlign w:val="bottom"/>
            <w:tcBorders>
              <w:top w:val="single" w:sz="8" w:color="auto"/>
              <w:bottom w:val="single" w:sz="8" w:color="EAEAEA"/>
            </w:tcBorders>
            <w:shd w:val="clear" w:color="auto" w:fill="EAEAEA"/>
          </w:tcPr>
          <w:p>
            <w:pPr>
              <w:jc w:val="right"/>
              <w:spacing w:after="0" w:line="179" w:lineRule="exact"/>
              <w:rPr>
                <w:sz w:val="20"/>
                <w:szCs w:val="20"/>
                <w:color w:val="auto"/>
              </w:rPr>
            </w:pPr>
            <w:r>
              <w:rPr>
                <w:rFonts w:ascii="Times New Roman" w:cs="Times New Roman" w:eastAsia="Times New Roman" w:hAnsi="Times New Roman"/>
                <w:sz w:val="18"/>
                <w:szCs w:val="18"/>
                <w:color w:val="auto"/>
                <w:w w:val="81"/>
                <w:shd w:val="clear" w:color="auto" w:fill="EAEAEA"/>
              </w:rPr>
              <w:t>724</w:t>
            </w:r>
          </w:p>
        </w:tc>
        <w:tc>
          <w:tcPr>
            <w:tcW w:w="40" w:type="dxa"/>
            <w:vAlign w:val="bottom"/>
            <w:tcBorders>
              <w:top w:val="single" w:sz="8" w:color="auto"/>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160" w:type="dxa"/>
            <w:vAlign w:val="bottom"/>
            <w:tcBorders>
              <w:top w:val="single" w:sz="8" w:color="EAEAEA"/>
              <w:bottom w:val="single" w:sz="8" w:color="EAEAEA"/>
            </w:tcBorders>
            <w:shd w:val="clear" w:color="auto" w:fill="EAEAEA"/>
          </w:tcPr>
          <w:p>
            <w:pPr>
              <w:spacing w:after="0"/>
              <w:rPr>
                <w:sz w:val="18"/>
                <w:szCs w:val="18"/>
                <w:color w:val="auto"/>
              </w:rPr>
            </w:pPr>
          </w:p>
        </w:tc>
        <w:tc>
          <w:tcPr>
            <w:tcW w:w="120" w:type="dxa"/>
            <w:vAlign w:val="bottom"/>
            <w:tcBorders>
              <w:top w:val="single" w:sz="8" w:color="EAEAEA"/>
              <w:bottom w:val="single" w:sz="8" w:color="EAEAEA"/>
            </w:tcBorders>
            <w:shd w:val="clear" w:color="auto" w:fill="EAEAEA"/>
          </w:tcPr>
          <w:p>
            <w:pPr>
              <w:spacing w:after="0"/>
              <w:rPr>
                <w:sz w:val="18"/>
                <w:szCs w:val="18"/>
                <w:color w:val="auto"/>
              </w:rPr>
            </w:pPr>
          </w:p>
        </w:tc>
        <w:tc>
          <w:tcPr>
            <w:tcW w:w="180" w:type="dxa"/>
            <w:vAlign w:val="bottom"/>
            <w:tcBorders>
              <w:top w:val="single" w:sz="8" w:color="auto"/>
              <w:bottom w:val="single" w:sz="8" w:color="EAEAEA"/>
            </w:tcBorders>
            <w:shd w:val="clear" w:color="auto" w:fill="EAEAEA"/>
          </w:tcPr>
          <w:p>
            <w:pPr>
              <w:jc w:val="right"/>
              <w:ind w:right="15"/>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40" w:type="dxa"/>
            <w:vAlign w:val="bottom"/>
            <w:tcBorders>
              <w:top w:val="single" w:sz="8" w:color="auto"/>
              <w:bottom w:val="single" w:sz="8" w:color="EAEAEA"/>
            </w:tcBorders>
            <w:shd w:val="clear" w:color="auto" w:fill="EAEAEA"/>
          </w:tcPr>
          <w:p>
            <w:pPr>
              <w:spacing w:after="0"/>
              <w:rPr>
                <w:sz w:val="18"/>
                <w:szCs w:val="18"/>
                <w:color w:val="auto"/>
              </w:rPr>
            </w:pPr>
          </w:p>
        </w:tc>
        <w:tc>
          <w:tcPr>
            <w:tcW w:w="260" w:type="dxa"/>
            <w:vAlign w:val="bottom"/>
            <w:tcBorders>
              <w:top w:val="single" w:sz="8" w:color="auto"/>
              <w:bottom w:val="single" w:sz="8" w:color="EAEAEA"/>
            </w:tcBorders>
            <w:gridSpan w:val="2"/>
            <w:shd w:val="clear" w:color="auto" w:fill="EAEAEA"/>
          </w:tcPr>
          <w:p>
            <w:pPr>
              <w:jc w:val="right"/>
              <w:spacing w:after="0" w:line="179" w:lineRule="exact"/>
              <w:rPr>
                <w:sz w:val="20"/>
                <w:szCs w:val="20"/>
                <w:color w:val="auto"/>
              </w:rPr>
            </w:pPr>
            <w:r>
              <w:rPr>
                <w:rFonts w:ascii="Times New Roman" w:cs="Times New Roman" w:eastAsia="Times New Roman" w:hAnsi="Times New Roman"/>
                <w:sz w:val="18"/>
                <w:szCs w:val="18"/>
                <w:color w:val="auto"/>
                <w:w w:val="88"/>
                <w:shd w:val="clear" w:color="auto" w:fill="EAEAEA"/>
              </w:rPr>
              <w:t>752</w:t>
            </w:r>
          </w:p>
        </w:tc>
        <w:tc>
          <w:tcPr>
            <w:tcW w:w="20" w:type="dxa"/>
            <w:vAlign w:val="bottom"/>
            <w:tcBorders>
              <w:top w:val="single" w:sz="8" w:color="auto"/>
              <w:bottom w:val="single" w:sz="8" w:color="EAEAEA"/>
            </w:tcBorders>
            <w:shd w:val="clear" w:color="auto" w:fill="EAEAEA"/>
          </w:tcPr>
          <w:p>
            <w:pPr>
              <w:spacing w:after="0"/>
              <w:rPr>
                <w:sz w:val="18"/>
                <w:szCs w:val="18"/>
                <w:color w:val="auto"/>
              </w:rPr>
            </w:pPr>
          </w:p>
        </w:tc>
        <w:tc>
          <w:tcPr>
            <w:tcW w:w="60" w:type="dxa"/>
            <w:vAlign w:val="bottom"/>
            <w:tcBorders>
              <w:top w:val="single" w:sz="8" w:color="EAEAEA"/>
              <w:bottom w:val="single" w:sz="8" w:color="EAEAEA"/>
            </w:tcBorders>
            <w:shd w:val="clear" w:color="auto" w:fill="EAEAEA"/>
          </w:tcPr>
          <w:p>
            <w:pPr>
              <w:spacing w:after="0"/>
              <w:rPr>
                <w:sz w:val="18"/>
                <w:szCs w:val="18"/>
                <w:color w:val="auto"/>
              </w:rPr>
            </w:pPr>
          </w:p>
        </w:tc>
        <w:tc>
          <w:tcPr>
            <w:tcW w:w="260" w:type="dxa"/>
            <w:vAlign w:val="bottom"/>
            <w:tcBorders>
              <w:top w:val="single" w:sz="8" w:color="EAEAEA"/>
              <w:bottom w:val="single" w:sz="8" w:color="EAEAEA"/>
            </w:tcBorders>
            <w:shd w:val="clear" w:color="auto" w:fill="EAEAEA"/>
          </w:tcPr>
          <w:p>
            <w:pPr>
              <w:spacing w:after="0"/>
              <w:rPr>
                <w:sz w:val="18"/>
                <w:szCs w:val="18"/>
                <w:color w:val="auto"/>
              </w:rPr>
            </w:pPr>
          </w:p>
        </w:tc>
        <w:tc>
          <w:tcPr>
            <w:tcW w:w="100" w:type="dxa"/>
            <w:vAlign w:val="bottom"/>
            <w:tcBorders>
              <w:top w:val="single" w:sz="8" w:color="auto"/>
              <w:bottom w:val="single" w:sz="8" w:color="EAEAEA"/>
            </w:tcBorders>
            <w:shd w:val="clear" w:color="auto" w:fill="EAEAEA"/>
          </w:tcPr>
          <w:p>
            <w:pPr>
              <w:jc w:val="right"/>
              <w:spacing w:after="0" w:line="179" w:lineRule="exact"/>
              <w:rPr>
                <w:sz w:val="20"/>
                <w:szCs w:val="20"/>
                <w:color w:val="auto"/>
              </w:rPr>
            </w:pPr>
            <w:r>
              <w:rPr>
                <w:rFonts w:ascii="Times New Roman" w:cs="Times New Roman" w:eastAsia="Times New Roman" w:hAnsi="Times New Roman"/>
                <w:sz w:val="18"/>
                <w:szCs w:val="18"/>
                <w:color w:val="auto"/>
                <w:w w:val="88"/>
                <w:shd w:val="clear" w:color="auto" w:fill="EAEAEA"/>
              </w:rPr>
              <w:t>$</w:t>
            </w:r>
          </w:p>
        </w:tc>
        <w:tc>
          <w:tcPr>
            <w:tcW w:w="540" w:type="dxa"/>
            <w:vAlign w:val="bottom"/>
            <w:tcBorders>
              <w:top w:val="single" w:sz="8" w:color="auto"/>
              <w:bottom w:val="single" w:sz="8" w:color="EAEAEA"/>
            </w:tcBorders>
            <w:shd w:val="clear" w:color="auto" w:fill="EAEAEA"/>
          </w:tcPr>
          <w:p>
            <w:pPr>
              <w:spacing w:after="0"/>
              <w:rPr>
                <w:sz w:val="18"/>
                <w:szCs w:val="18"/>
                <w:color w:val="auto"/>
              </w:rPr>
            </w:pPr>
          </w:p>
        </w:tc>
        <w:tc>
          <w:tcPr>
            <w:tcW w:w="260" w:type="dxa"/>
            <w:vAlign w:val="bottom"/>
            <w:tcBorders>
              <w:top w:val="single" w:sz="8" w:color="auto"/>
              <w:bottom w:val="single" w:sz="8" w:color="EAEAEA"/>
            </w:tcBorders>
            <w:gridSpan w:val="2"/>
            <w:shd w:val="clear" w:color="auto" w:fill="EAEAEA"/>
          </w:tcPr>
          <w:p>
            <w:pPr>
              <w:jc w:val="right"/>
              <w:spacing w:after="0" w:line="179" w:lineRule="exact"/>
              <w:rPr>
                <w:sz w:val="20"/>
                <w:szCs w:val="20"/>
                <w:color w:val="auto"/>
              </w:rPr>
            </w:pPr>
            <w:r>
              <w:rPr>
                <w:rFonts w:ascii="Times New Roman" w:cs="Times New Roman" w:eastAsia="Times New Roman" w:hAnsi="Times New Roman"/>
                <w:sz w:val="18"/>
                <w:szCs w:val="18"/>
                <w:color w:val="auto"/>
                <w:w w:val="88"/>
                <w:shd w:val="clear" w:color="auto" w:fill="EAEAEA"/>
              </w:rPr>
              <w:t>355</w:t>
            </w:r>
          </w:p>
        </w:tc>
        <w:tc>
          <w:tcPr>
            <w:tcW w:w="20" w:type="dxa"/>
            <w:vAlign w:val="bottom"/>
            <w:tcBorders>
              <w:top w:val="single" w:sz="8" w:color="auto"/>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160" w:type="dxa"/>
            <w:vAlign w:val="bottom"/>
            <w:tcBorders>
              <w:top w:val="single" w:sz="8" w:color="EAEAEA"/>
              <w:bottom w:val="single" w:sz="8" w:color="EAEAEA"/>
            </w:tcBorders>
            <w:shd w:val="clear" w:color="auto" w:fill="EAEAEA"/>
          </w:tcPr>
          <w:p>
            <w:pPr>
              <w:spacing w:after="0"/>
              <w:rPr>
                <w:sz w:val="18"/>
                <w:szCs w:val="18"/>
                <w:color w:val="auto"/>
              </w:rPr>
            </w:pPr>
          </w:p>
        </w:tc>
        <w:tc>
          <w:tcPr>
            <w:tcW w:w="120" w:type="dxa"/>
            <w:vAlign w:val="bottom"/>
            <w:tcBorders>
              <w:top w:val="single" w:sz="8" w:color="EAEAEA"/>
              <w:bottom w:val="single" w:sz="8" w:color="EAEAEA"/>
            </w:tcBorders>
            <w:shd w:val="clear" w:color="auto" w:fill="EAEAEA"/>
          </w:tcPr>
          <w:p>
            <w:pPr>
              <w:spacing w:after="0"/>
              <w:rPr>
                <w:sz w:val="18"/>
                <w:szCs w:val="18"/>
                <w:color w:val="auto"/>
              </w:rPr>
            </w:pPr>
          </w:p>
        </w:tc>
        <w:tc>
          <w:tcPr>
            <w:tcW w:w="180" w:type="dxa"/>
            <w:vAlign w:val="bottom"/>
            <w:tcBorders>
              <w:top w:val="single" w:sz="8" w:color="auto"/>
              <w:bottom w:val="single" w:sz="8" w:color="EAEAEA"/>
            </w:tcBorders>
            <w:shd w:val="clear" w:color="auto" w:fill="EAEAEA"/>
          </w:tcPr>
          <w:p>
            <w:pPr>
              <w:jc w:val="right"/>
              <w:ind w:right="15"/>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60" w:type="dxa"/>
            <w:vAlign w:val="bottom"/>
            <w:tcBorders>
              <w:top w:val="single" w:sz="8" w:color="auto"/>
              <w:bottom w:val="single" w:sz="8" w:color="EAEAEA"/>
            </w:tcBorders>
            <w:shd w:val="clear" w:color="auto" w:fill="EAEAEA"/>
          </w:tcPr>
          <w:p>
            <w:pPr>
              <w:spacing w:after="0"/>
              <w:rPr>
                <w:sz w:val="18"/>
                <w:szCs w:val="18"/>
                <w:color w:val="auto"/>
              </w:rPr>
            </w:pPr>
          </w:p>
        </w:tc>
        <w:tc>
          <w:tcPr>
            <w:tcW w:w="240" w:type="dxa"/>
            <w:vAlign w:val="bottom"/>
            <w:tcBorders>
              <w:top w:val="single" w:sz="8" w:color="auto"/>
              <w:bottom w:val="single" w:sz="8" w:color="EAEAEA"/>
            </w:tcBorders>
            <w:gridSpan w:val="2"/>
            <w:shd w:val="clear" w:color="auto" w:fill="EAEAEA"/>
          </w:tcPr>
          <w:p>
            <w:pPr>
              <w:jc w:val="right"/>
              <w:spacing w:after="0" w:line="179" w:lineRule="exact"/>
              <w:rPr>
                <w:sz w:val="20"/>
                <w:szCs w:val="20"/>
                <w:color w:val="auto"/>
              </w:rPr>
            </w:pPr>
            <w:r>
              <w:rPr>
                <w:rFonts w:ascii="Times New Roman" w:cs="Times New Roman" w:eastAsia="Times New Roman" w:hAnsi="Times New Roman"/>
                <w:sz w:val="18"/>
                <w:szCs w:val="18"/>
                <w:color w:val="auto"/>
                <w:w w:val="81"/>
                <w:shd w:val="clear" w:color="auto" w:fill="EAEAEA"/>
              </w:rPr>
              <w:t>396</w:t>
            </w:r>
          </w:p>
        </w:tc>
        <w:tc>
          <w:tcPr>
            <w:tcW w:w="40" w:type="dxa"/>
            <w:vAlign w:val="bottom"/>
            <w:tcBorders>
              <w:top w:val="single" w:sz="8" w:color="auto"/>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20" w:type="dxa"/>
            <w:vAlign w:val="bottom"/>
            <w:tcBorders>
              <w:top w:val="single" w:sz="8" w:color="EAEAEA"/>
              <w:bottom w:val="single" w:sz="8" w:color="EAEAEA"/>
            </w:tcBorders>
            <w:shd w:val="clear" w:color="auto" w:fill="EAEAEA"/>
          </w:tcPr>
          <w:p>
            <w:pPr>
              <w:spacing w:after="0"/>
              <w:rPr>
                <w:sz w:val="18"/>
                <w:szCs w:val="18"/>
                <w:color w:val="auto"/>
              </w:rPr>
            </w:pPr>
          </w:p>
        </w:tc>
        <w:tc>
          <w:tcPr>
            <w:tcW w:w="140" w:type="dxa"/>
            <w:vAlign w:val="bottom"/>
            <w:tcBorders>
              <w:top w:val="single" w:sz="8" w:color="EAEAEA"/>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40" w:type="dxa"/>
            <w:vAlign w:val="bottom"/>
            <w:gridSpan w:val="4"/>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Accumulated benefit obligation at end of</w:t>
            </w:r>
          </w:p>
        </w:tc>
        <w:tc>
          <w:tcPr>
            <w:tcW w:w="8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40" w:type="dxa"/>
            <w:vAlign w:val="bottom"/>
            <w:tcBorders>
              <w:bottom w:val="single" w:sz="8" w:color="EAEAEA"/>
            </w:tcBorders>
            <w:gridSpan w:val="2"/>
            <w:shd w:val="clear" w:color="auto" w:fill="EAEAEA"/>
          </w:tcPr>
          <w:p>
            <w:pPr>
              <w:spacing w:after="0" w:line="170" w:lineRule="exact"/>
              <w:rPr>
                <w:sz w:val="20"/>
                <w:szCs w:val="20"/>
                <w:color w:val="auto"/>
              </w:rPr>
            </w:pPr>
            <w:r>
              <w:rPr>
                <w:rFonts w:ascii="Times New Roman" w:cs="Times New Roman" w:eastAsia="Times New Roman" w:hAnsi="Times New Roman"/>
                <w:sz w:val="18"/>
                <w:szCs w:val="18"/>
                <w:b w:val="1"/>
                <w:bCs w:val="1"/>
                <w:color w:val="auto"/>
                <w:shd w:val="clear" w:color="auto" w:fill="EAEAEA"/>
              </w:rPr>
              <w:t>year</w:t>
            </w:r>
          </w:p>
        </w:tc>
        <w:tc>
          <w:tcPr>
            <w:tcW w:w="36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90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323,908</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ind w:left="20"/>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0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310,714</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jc w:val="right"/>
              <w:ind w:right="15"/>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60" w:type="dxa"/>
            <w:vAlign w:val="bottom"/>
            <w:tcBorders>
              <w:bottom w:val="single" w:sz="8" w:color="EAEAEA"/>
            </w:tcBorders>
            <w:gridSpan w:val="2"/>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1"/>
                <w:shd w:val="clear" w:color="auto" w:fill="EAEAEA"/>
              </w:rPr>
              <w:t>724</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jc w:val="right"/>
              <w:ind w:right="15"/>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4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shd w:val="clear" w:color="auto" w:fill="EAEAEA"/>
              </w:rPr>
              <w:t>752</w:t>
            </w: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shd w:val="clear" w:color="auto" w:fill="EAEAEA"/>
              </w:rPr>
              <w:t>$</w:t>
            </w:r>
          </w:p>
        </w:tc>
        <w:tc>
          <w:tcPr>
            <w:tcW w:w="54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shd w:val="clear" w:color="auto" w:fill="EAEAEA"/>
              </w:rPr>
              <w:t>355</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jc w:val="right"/>
              <w:ind w:right="15"/>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46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1"/>
                <w:shd w:val="clear" w:color="auto" w:fill="EAEAEA"/>
              </w:rPr>
              <w:t>396</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0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w w:val="98"/>
                <w:shd w:val="clear" w:color="auto" w:fill="EAEAEA"/>
              </w:rPr>
              <w:t>Weighted-average assumption used to</w:t>
            </w:r>
          </w:p>
        </w:tc>
        <w:tc>
          <w:tcPr>
            <w:tcW w:w="6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0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w w:val="99"/>
                <w:shd w:val="clear" w:color="auto" w:fill="EAEAEA"/>
              </w:rPr>
              <w:t>determine benefit obligation at end of</w:t>
            </w:r>
          </w:p>
        </w:tc>
        <w:tc>
          <w:tcPr>
            <w:tcW w:w="640" w:type="dxa"/>
            <w:vAlign w:val="bottom"/>
            <w:shd w:val="clear" w:color="auto" w:fill="EAEAEA"/>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year</w:t>
            </w:r>
          </w:p>
        </w:tc>
        <w:tc>
          <w:tcPr>
            <w:tcW w:w="8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5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5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40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4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5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4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Discount rate (a)</w:t>
            </w: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02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185"/>
        </w:trPr>
        <w:tc>
          <w:tcPr>
            <w:tcW w:w="2540" w:type="dxa"/>
            <w:vAlign w:val="bottom"/>
            <w:gridSpan w:val="2"/>
            <w:shd w:val="clear" w:color="auto" w:fill="EAEAEA"/>
          </w:tcPr>
          <w:p>
            <w:pPr>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Rate of compensation increase</w:t>
            </w:r>
          </w:p>
        </w:tc>
        <w:tc>
          <w:tcPr>
            <w:tcW w:w="1000" w:type="dxa"/>
            <w:vAlign w:val="bottom"/>
            <w:gridSpan w:val="2"/>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900" w:type="dxa"/>
            <w:vAlign w:val="bottom"/>
            <w:gridSpan w:val="2"/>
            <w:shd w:val="clear" w:color="auto" w:fill="EAEAEA"/>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Service-</w:t>
            </w:r>
          </w:p>
        </w:tc>
        <w:tc>
          <w:tcPr>
            <w:tcW w:w="240" w:type="dxa"/>
            <w:vAlign w:val="bottom"/>
            <w:gridSpan w:val="5"/>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00" w:type="dxa"/>
            <w:vAlign w:val="bottom"/>
            <w:gridSpan w:val="2"/>
            <w:shd w:val="clear" w:color="auto" w:fill="EAEAEA"/>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EAEAEA"/>
              </w:rPr>
              <w:t>Service-</w:t>
            </w:r>
          </w:p>
        </w:tc>
        <w:tc>
          <w:tcPr>
            <w:tcW w:w="340" w:type="dxa"/>
            <w:vAlign w:val="bottom"/>
            <w:gridSpan w:val="5"/>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44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26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54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46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2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EAEAEA"/>
            </w:tcBorders>
            <w:shd w:val="clear" w:color="auto" w:fill="EAEAEA"/>
          </w:tcPr>
          <w:p>
            <w:pPr>
              <w:spacing w:after="0"/>
              <w:rPr>
                <w:sz w:val="19"/>
                <w:szCs w:val="19"/>
                <w:color w:val="auto"/>
              </w:rPr>
            </w:pPr>
          </w:p>
        </w:tc>
        <w:tc>
          <w:tcPr>
            <w:tcW w:w="234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shd w:val="clear" w:color="auto" w:fill="EAEAEA"/>
          </w:tcPr>
          <w:p>
            <w:pPr>
              <w:spacing w:after="0"/>
              <w:rPr>
                <w:sz w:val="19"/>
                <w:szCs w:val="19"/>
                <w:color w:val="auto"/>
              </w:rPr>
            </w:pPr>
          </w:p>
        </w:tc>
        <w:tc>
          <w:tcPr>
            <w:tcW w:w="6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90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based table</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EAEAEA"/>
              </w:rPr>
              <w:t>based table</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40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4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5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234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Initial rate</w:t>
            </w:r>
          </w:p>
        </w:tc>
        <w:tc>
          <w:tcPr>
            <w:tcW w:w="36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80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7.25</w:t>
            </w:r>
          </w:p>
        </w:tc>
        <w:tc>
          <w:tcPr>
            <w:tcW w:w="40" w:type="dxa"/>
            <w:vAlign w:val="bottom"/>
            <w:tcBorders>
              <w:bottom w:val="single" w:sz="8" w:color="EAEAEA"/>
            </w:tcBorders>
            <w:gridSpan w:val="2"/>
            <w:shd w:val="clear" w:color="auto" w:fill="EAEAEA"/>
          </w:tcPr>
          <w:p>
            <w:pPr>
              <w:spacing w:after="0"/>
              <w:rPr>
                <w:sz w:val="17"/>
                <w:szCs w:val="17"/>
                <w:color w:val="auto"/>
              </w:rPr>
            </w:pPr>
          </w:p>
        </w:tc>
        <w:tc>
          <w:tcPr>
            <w:tcW w:w="180" w:type="dxa"/>
            <w:vAlign w:val="bottom"/>
            <w:tcBorders>
              <w:bottom w:val="single" w:sz="8" w:color="EAEAEA"/>
            </w:tcBorders>
            <w:gridSpan w:val="2"/>
            <w:shd w:val="clear" w:color="auto" w:fill="EAEAEA"/>
          </w:tcPr>
          <w:p>
            <w:pPr>
              <w:jc w:val="right"/>
              <w:ind w:right="60"/>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70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6.75</w:t>
            </w:r>
          </w:p>
        </w:tc>
        <w:tc>
          <w:tcPr>
            <w:tcW w:w="60" w:type="dxa"/>
            <w:vAlign w:val="bottom"/>
            <w:tcBorders>
              <w:bottom w:val="single" w:sz="8" w:color="EAEAEA"/>
            </w:tcBorders>
            <w:gridSpan w:val="2"/>
            <w:shd w:val="clear" w:color="auto" w:fill="EAEAEA"/>
          </w:tcPr>
          <w:p>
            <w:pPr>
              <w:spacing w:after="0"/>
              <w:rPr>
                <w:sz w:val="17"/>
                <w:szCs w:val="17"/>
                <w:color w:val="auto"/>
              </w:rPr>
            </w:pPr>
          </w:p>
        </w:tc>
        <w:tc>
          <w:tcPr>
            <w:tcW w:w="160" w:type="dxa"/>
            <w:vAlign w:val="bottom"/>
            <w:tcBorders>
              <w:bottom w:val="single" w:sz="8" w:color="EAEAEA"/>
            </w:tcBorders>
            <w:gridSpan w:val="2"/>
            <w:shd w:val="clear" w:color="auto" w:fill="EAEAEA"/>
          </w:tcPr>
          <w:p>
            <w:pPr>
              <w:spacing w:after="0" w:line="184" w:lineRule="exact"/>
              <w:rPr>
                <w:sz w:val="20"/>
                <w:szCs w:val="20"/>
                <w:color w:val="auto"/>
              </w:rPr>
            </w:pPr>
            <w:r>
              <w:rPr>
                <w:rFonts w:ascii="Times New Roman" w:cs="Times New Roman" w:eastAsia="Times New Roman" w:hAnsi="Times New Roman"/>
                <w:sz w:val="18"/>
                <w:szCs w:val="18"/>
                <w:color w:val="auto"/>
                <w:w w:val="93"/>
                <w:shd w:val="clear" w:color="auto" w:fill="EAEAEA"/>
              </w:rPr>
              <w:t>%</w:t>
            </w:r>
          </w:p>
        </w:tc>
        <w:tc>
          <w:tcPr>
            <w:tcW w:w="0" w:type="dxa"/>
            <w:vAlign w:val="bottom"/>
          </w:tcPr>
          <w:p>
            <w:pPr>
              <w:spacing w:after="0"/>
              <w:rPr>
                <w:sz w:val="1"/>
                <w:szCs w:val="1"/>
                <w:color w:val="auto"/>
              </w:rPr>
            </w:pPr>
          </w:p>
        </w:tc>
      </w:tr>
      <w:tr>
        <w:trPr>
          <w:trHeight w:val="221"/>
        </w:trPr>
        <w:tc>
          <w:tcPr>
            <w:tcW w:w="35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Ultimate rate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1"/>
        </w:trPr>
        <w:tc>
          <w:tcPr>
            <w:tcW w:w="2540" w:type="dxa"/>
            <w:vAlign w:val="bottom"/>
            <w:tcBorders>
              <w:bottom w:val="single" w:sz="8" w:color="EAEAEA"/>
            </w:tcBorders>
            <w:gridSpan w:val="2"/>
            <w:shd w:val="clear" w:color="auto" w:fill="EAEAEA"/>
          </w:tcPr>
          <w:p>
            <w:pPr>
              <w:ind w:left="200"/>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Years to ultimate</w:t>
            </w:r>
          </w:p>
        </w:tc>
        <w:tc>
          <w:tcPr>
            <w:tcW w:w="360" w:type="dxa"/>
            <w:vAlign w:val="bottom"/>
            <w:tcBorders>
              <w:bottom w:val="single" w:sz="8" w:color="EAEAEA"/>
            </w:tcBorders>
            <w:shd w:val="clear" w:color="auto" w:fill="EAEAEA"/>
          </w:tcPr>
          <w:p>
            <w:pPr>
              <w:spacing w:after="0"/>
              <w:rPr>
                <w:sz w:val="17"/>
                <w:szCs w:val="17"/>
                <w:color w:val="auto"/>
              </w:rPr>
            </w:pPr>
          </w:p>
        </w:tc>
        <w:tc>
          <w:tcPr>
            <w:tcW w:w="64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0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100" w:type="dxa"/>
            <w:vAlign w:val="bottom"/>
            <w:tcBorders>
              <w:bottom w:val="single" w:sz="8" w:color="EAEAEA"/>
            </w:tcBorders>
            <w:shd w:val="clear" w:color="auto" w:fill="EAEAEA"/>
          </w:tcPr>
          <w:p>
            <w:pPr>
              <w:spacing w:after="0"/>
              <w:rPr>
                <w:sz w:val="17"/>
                <w:szCs w:val="17"/>
                <w:color w:val="auto"/>
              </w:rPr>
            </w:pPr>
          </w:p>
        </w:tc>
        <w:tc>
          <w:tcPr>
            <w:tcW w:w="80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2035</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70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2032</w:t>
            </w:r>
          </w:p>
        </w:tc>
        <w:tc>
          <w:tcPr>
            <w:tcW w:w="4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Change in plan assets</w:t>
            </w:r>
          </w:p>
        </w:tc>
        <w:tc>
          <w:tcPr>
            <w:tcW w:w="1000" w:type="dxa"/>
            <w:vAlign w:val="bottom"/>
            <w:gridSpan w:val="2"/>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411,449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375,917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Actual return on plan assets</w:t>
            </w:r>
          </w:p>
        </w:tc>
        <w:tc>
          <w:tcPr>
            <w:tcW w:w="360" w:type="dxa"/>
            <w:vAlign w:val="bottom"/>
            <w:shd w:val="clear" w:color="auto" w:fill="EAEAEA"/>
          </w:tcPr>
          <w:p>
            <w:pPr>
              <w:spacing w:after="0"/>
              <w:rPr>
                <w:sz w:val="19"/>
                <w:szCs w:val="19"/>
                <w:color w:val="auto"/>
              </w:rPr>
            </w:pPr>
          </w:p>
        </w:tc>
        <w:tc>
          <w:tcPr>
            <w:tcW w:w="6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65,673</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49,450</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Gross benefits paid</w:t>
            </w:r>
          </w:p>
        </w:tc>
        <w:tc>
          <w:tcPr>
            <w:tcW w:w="1000" w:type="dxa"/>
            <w:vAlign w:val="bottom"/>
            <w:gridSpan w:val="2"/>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EAEAEA"/>
              </w:rPr>
              <w:t>(17,057</w:t>
            </w:r>
          </w:p>
        </w:tc>
        <w:tc>
          <w:tcPr>
            <w:tcW w:w="40" w:type="dxa"/>
            <w:vAlign w:val="bottom"/>
            <w:gridSpan w:val="2"/>
            <w:shd w:val="clear" w:color="auto" w:fill="EAEAEA"/>
          </w:tcPr>
          <w:p>
            <w:pPr>
              <w:spacing w:after="0"/>
              <w:rPr>
                <w:sz w:val="19"/>
                <w:szCs w:val="19"/>
                <w:color w:val="auto"/>
              </w:rPr>
            </w:pPr>
          </w:p>
        </w:tc>
        <w:tc>
          <w:tcPr>
            <w:tcW w:w="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EAEAEA"/>
              </w:rPr>
              <w:t>(15,572</w:t>
            </w: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3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84"/>
                <w:shd w:val="clear" w:color="auto" w:fill="EAEAEA"/>
              </w:rPr>
              <w:t>(110</w:t>
            </w:r>
          </w:p>
        </w:tc>
        <w:tc>
          <w:tcPr>
            <w:tcW w:w="6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80" w:type="dxa"/>
            <w:vAlign w:val="bottom"/>
            <w:gridSpan w:val="2"/>
            <w:shd w:val="clear" w:color="auto" w:fill="EAEAEA"/>
          </w:tcPr>
          <w:p>
            <w:pPr>
              <w:spacing w:after="0"/>
              <w:rPr>
                <w:sz w:val="19"/>
                <w:szCs w:val="19"/>
                <w:color w:val="auto"/>
              </w:rPr>
            </w:pPr>
          </w:p>
        </w:tc>
        <w:tc>
          <w:tcPr>
            <w:tcW w:w="2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83"/>
                <w:shd w:val="clear" w:color="auto" w:fill="EAEAEA"/>
              </w:rPr>
              <w:t>(68</w:t>
            </w: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2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580" w:type="dxa"/>
            <w:vAlign w:val="bottom"/>
            <w:gridSpan w:val="2"/>
            <w:shd w:val="clear" w:color="auto" w:fill="EAEAEA"/>
          </w:tcPr>
          <w:p>
            <w:pPr>
              <w:spacing w:after="0"/>
              <w:rPr>
                <w:sz w:val="19"/>
                <w:szCs w:val="19"/>
                <w:color w:val="auto"/>
              </w:rPr>
            </w:pPr>
          </w:p>
        </w:tc>
        <w:tc>
          <w:tcPr>
            <w:tcW w:w="2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83"/>
                <w:shd w:val="clear" w:color="auto" w:fill="EAEAEA"/>
              </w:rPr>
              <w:t>(86</w:t>
            </w:r>
          </w:p>
        </w:tc>
        <w:tc>
          <w:tcPr>
            <w:tcW w:w="40" w:type="dxa"/>
            <w:vAlign w:val="bottom"/>
            <w:gridSpan w:val="2"/>
            <w:shd w:val="clear" w:color="auto" w:fill="EAEAEA"/>
          </w:tcPr>
          <w:p>
            <w:pPr>
              <w:spacing w:after="0"/>
              <w:rPr>
                <w:sz w:val="19"/>
                <w:szCs w:val="19"/>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480" w:type="dxa"/>
            <w:vAlign w:val="bottom"/>
            <w:gridSpan w:val="2"/>
            <w:shd w:val="clear" w:color="auto" w:fill="EAEAEA"/>
          </w:tcPr>
          <w:p>
            <w:pPr>
              <w:spacing w:after="0"/>
              <w:rPr>
                <w:sz w:val="19"/>
                <w:szCs w:val="19"/>
                <w:color w:val="auto"/>
              </w:rPr>
            </w:pPr>
          </w:p>
        </w:tc>
        <w:tc>
          <w:tcPr>
            <w:tcW w:w="2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83"/>
                <w:shd w:val="clear" w:color="auto" w:fill="EAEAEA"/>
              </w:rPr>
              <w:t>(36</w:t>
            </w:r>
          </w:p>
        </w:tc>
        <w:tc>
          <w:tcPr>
            <w:tcW w:w="60" w:type="dxa"/>
            <w:vAlign w:val="bottom"/>
            <w:gridSpan w:val="2"/>
            <w:shd w:val="clear" w:color="auto" w:fill="EAEAEA"/>
          </w:tcPr>
          <w:p>
            <w:pPr>
              <w:spacing w:after="0"/>
              <w:rPr>
                <w:sz w:val="19"/>
                <w:szCs w:val="19"/>
                <w:color w:val="auto"/>
              </w:rPr>
            </w:pPr>
          </w:p>
        </w:tc>
        <w:tc>
          <w:tcPr>
            <w:tcW w:w="20" w:type="dxa"/>
            <w:vAlign w:val="bottom"/>
            <w:shd w:val="clear" w:color="auto" w:fill="EAEAEA"/>
          </w:tcPr>
          <w:p>
            <w:pPr>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461,245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411,449</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-4157345</wp:posOffset>
            </wp:positionV>
            <wp:extent cx="294830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42">
                      <a:extLst>
                        <a:ext uri="{28A0092B-C50C-407E-A947-70E740481C1C}"/>
                      </a:extLst>
                    </a:blip>
                    <a:srcRect/>
                    <a:stretch>
                      <a:fillRect/>
                    </a:stretch>
                  </pic:blipFill>
                  <pic:spPr bwMode="auto">
                    <a:xfrm>
                      <a:off x="0" y="0"/>
                      <a:ext cx="2948305" cy="34925"/>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-4022090</wp:posOffset>
            </wp:positionV>
            <wp:extent cx="4514850"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43">
                      <a:extLst>
                        <a:ext uri="{28A0092B-C50C-407E-A947-70E740481C1C}"/>
                      </a:extLst>
                    </a:blip>
                    <a:srcRect/>
                    <a:stretch>
                      <a:fillRect/>
                    </a:stretch>
                  </pic:blipFill>
                  <pic:spPr bwMode="auto">
                    <a:xfrm>
                      <a:off x="0" y="0"/>
                      <a:ext cx="4514850" cy="349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2887980</wp:posOffset>
                </wp:positionH>
                <wp:positionV relativeFrom="paragraph">
                  <wp:posOffset>-2433320</wp:posOffset>
                </wp:positionV>
                <wp:extent cx="0" cy="952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4pt,-191.5999pt" to="227.4pt,-190.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3604260</wp:posOffset>
                </wp:positionH>
                <wp:positionV relativeFrom="paragraph">
                  <wp:posOffset>-2433320</wp:posOffset>
                </wp:positionV>
                <wp:extent cx="0" cy="952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8pt,-191.5999pt" to="283.8pt,-190.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5170805</wp:posOffset>
                </wp:positionH>
                <wp:positionV relativeFrom="paragraph">
                  <wp:posOffset>-2433320</wp:posOffset>
                </wp:positionV>
                <wp:extent cx="0" cy="952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15pt,-191.5999pt" to="407.15pt,-190.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5954395</wp:posOffset>
                </wp:positionH>
                <wp:positionV relativeFrom="paragraph">
                  <wp:posOffset>-2433320</wp:posOffset>
                </wp:positionV>
                <wp:extent cx="0" cy="952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85pt,-191.5999pt" to="468.85pt,-190.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6737350</wp:posOffset>
                </wp:positionH>
                <wp:positionV relativeFrom="paragraph">
                  <wp:posOffset>-2433320</wp:posOffset>
                </wp:positionV>
                <wp:extent cx="0" cy="9525"/>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0.5pt,-191.5999pt" to="530.5pt,-190.8499pt" o:allowincell="f" strokecolor="#000000" strokeweight="0pt"/>
            </w:pict>
          </mc:Fallback>
        </mc:AlternateContent>
      </w:r>
    </w:p>
    <w:p>
      <w:pPr>
        <w:spacing w:after="0" w:line="191" w:lineRule="exact"/>
        <w:rPr>
          <w:sz w:val="20"/>
          <w:szCs w:val="20"/>
          <w:color w:val="auto"/>
        </w:rPr>
      </w:pPr>
    </w:p>
    <w:p>
      <w:pPr>
        <w:ind w:left="720" w:hanging="360"/>
        <w:spacing w:after="0" w:line="279"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discount rate was 5.5% for the Kirby Pension Plan and 5.7% for the Higman Pension Plan. The 2024 discount rate was 5.7% for both the Kirby Pension Plan and the Higman Pension Plan.</w:t>
      </w:r>
    </w:p>
    <w:p>
      <w:pPr>
        <w:spacing w:after="0" w:line="132" w:lineRule="exact"/>
        <w:rPr>
          <w:sz w:val="20"/>
          <w:szCs w:val="20"/>
          <w:color w:val="auto"/>
        </w:rPr>
      </w:pPr>
    </w:p>
    <w:p>
      <w:pPr>
        <w:ind w:firstLine="354"/>
        <w:spacing w:after="0" w:line="277" w:lineRule="auto"/>
        <w:rPr>
          <w:sz w:val="20"/>
          <w:szCs w:val="20"/>
          <w:color w:val="auto"/>
        </w:rPr>
      </w:pPr>
      <w:r>
        <w:rPr>
          <w:rFonts w:ascii="Times New Roman" w:cs="Times New Roman" w:eastAsia="Times New Roman" w:hAnsi="Times New Roman"/>
          <w:sz w:val="20"/>
          <w:szCs w:val="20"/>
          <w:color w:val="auto"/>
        </w:rPr>
        <w:t>During the years ending December 31, 2025 and 2024, actual returns on plan assets performed better than expected which improved the funding positions.</w:t>
      </w:r>
    </w:p>
    <w:p>
      <w:pPr>
        <w:sectPr>
          <w:pgSz w:w="12240" w:h="15840" w:orient="portrait"/>
          <w:cols w:equalWidth="0" w:num="1">
            <w:col w:w="10800"/>
          </w:cols>
          <w:pgMar w:left="720" w:top="92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929" w:right="720" w:bottom="175" w:gutter="0" w:footer="0" w:header="0"/>
          <w:type w:val="continuous"/>
        </w:sectPr>
      </w:pPr>
    </w:p>
    <w:bookmarkStart w:id="85" w:name="page86"/>
    <w:bookmarkEnd w:id="85"/>
    <w:p>
      <w:pPr>
        <w:ind w:left="360"/>
        <w:spacing w:after="0"/>
        <w:rPr>
          <w:sz w:val="20"/>
          <w:szCs w:val="20"/>
          <w:color w:val="auto"/>
        </w:rPr>
      </w:pPr>
      <w:r>
        <w:rPr>
          <w:rFonts w:ascii="Times New Roman" w:cs="Times New Roman" w:eastAsia="Times New Roman" w:hAnsi="Times New Roman"/>
          <w:sz w:val="20"/>
          <w:szCs w:val="20"/>
          <w:color w:val="auto"/>
        </w:rPr>
        <w:t>The following table presents the funded status and amounts recognized in the Company’s consolidated balance sheet for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defined benefit plans and postretirement benefit plan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9"/>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Other Postretirement Benefits</w:t>
            </w:r>
          </w:p>
        </w:tc>
        <w:tc>
          <w:tcPr>
            <w:tcW w:w="0" w:type="dxa"/>
            <w:vAlign w:val="bottom"/>
          </w:tcPr>
          <w:p>
            <w:pPr>
              <w:spacing w:after="0"/>
              <w:rPr>
                <w:sz w:val="1"/>
                <w:szCs w:val="1"/>
                <w:color w:val="auto"/>
              </w:rPr>
            </w:pPr>
          </w:p>
        </w:tc>
      </w:tr>
      <w:tr>
        <w:trPr>
          <w:trHeight w:val="179"/>
        </w:trPr>
        <w:tc>
          <w:tcPr>
            <w:tcW w:w="35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gridSpan w:val="7"/>
          </w:tcPr>
          <w:p>
            <w:pPr>
              <w:jc w:val="right"/>
              <w:ind w:right="840"/>
              <w:spacing w:after="0" w:line="179" w:lineRule="exact"/>
              <w:rPr>
                <w:sz w:val="20"/>
                <w:szCs w:val="20"/>
                <w:color w:val="auto"/>
              </w:rPr>
            </w:pPr>
            <w:r>
              <w:rPr>
                <w:rFonts w:ascii="Times New Roman" w:cs="Times New Roman" w:eastAsia="Times New Roman" w:hAnsi="Times New Roman"/>
                <w:sz w:val="16"/>
                <w:szCs w:val="16"/>
                <w:b w:val="1"/>
                <w:bCs w:val="1"/>
                <w:color w:val="auto"/>
              </w:rPr>
              <w:t>Pension Plans</w:t>
            </w:r>
          </w:p>
        </w:tc>
        <w:tc>
          <w:tcPr>
            <w:tcW w:w="6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5"/>
          </w:tcPr>
          <w:p>
            <w:pPr>
              <w:jc w:val="right"/>
              <w:ind w:right="516"/>
              <w:spacing w:after="0" w:line="179" w:lineRule="exact"/>
              <w:rPr>
                <w:sz w:val="20"/>
                <w:szCs w:val="20"/>
                <w:color w:val="auto"/>
              </w:rPr>
            </w:pPr>
            <w:r>
              <w:rPr>
                <w:rFonts w:ascii="Times New Roman" w:cs="Times New Roman" w:eastAsia="Times New Roman" w:hAnsi="Times New Roman"/>
                <w:sz w:val="16"/>
                <w:szCs w:val="16"/>
                <w:b w:val="1"/>
                <w:bCs w:val="1"/>
                <w:color w:val="auto"/>
              </w:rPr>
              <w:t>SERP</w:t>
            </w: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8"/>
          </w:tcPr>
          <w:p>
            <w:pPr>
              <w:jc w:val="right"/>
              <w:ind w:right="50"/>
              <w:spacing w:after="0" w:line="179" w:lineRule="exact"/>
              <w:rPr>
                <w:sz w:val="20"/>
                <w:szCs w:val="20"/>
                <w:color w:val="auto"/>
              </w:rPr>
            </w:pPr>
            <w:r>
              <w:rPr>
                <w:rFonts w:ascii="Times New Roman" w:cs="Times New Roman" w:eastAsia="Times New Roman" w:hAnsi="Times New Roman"/>
                <w:sz w:val="16"/>
                <w:szCs w:val="16"/>
                <w:b w:val="1"/>
                <w:bCs w:val="1"/>
                <w:color w:val="auto"/>
              </w:rPr>
              <w:t>Postretirement Welfare Plan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540" w:type="dxa"/>
            <w:vAlign w:val="bottom"/>
            <w:tcBorders>
              <w:bottom w:val="single" w:sz="8" w:color="EAEAEA"/>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EAEAEA"/>
            </w:tcBorders>
          </w:tcPr>
          <w:p>
            <w:pPr>
              <w:spacing w:after="0"/>
              <w:rPr>
                <w:sz w:val="15"/>
                <w:szCs w:val="15"/>
                <w:color w:val="auto"/>
              </w:rPr>
            </w:pPr>
          </w:p>
        </w:tc>
        <w:tc>
          <w:tcPr>
            <w:tcW w:w="80" w:type="dxa"/>
            <w:vAlign w:val="bottom"/>
            <w:tcBorders>
              <w:top w:val="single" w:sz="8" w:color="auto"/>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AEAEA"/>
            </w:tcBorders>
          </w:tcPr>
          <w:p>
            <w:pPr>
              <w:spacing w:after="0"/>
              <w:rPr>
                <w:sz w:val="15"/>
                <w:szCs w:val="15"/>
                <w:color w:val="auto"/>
              </w:rPr>
            </w:pPr>
          </w:p>
        </w:tc>
        <w:tc>
          <w:tcPr>
            <w:tcW w:w="6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EAEAEA"/>
            </w:tcBorders>
          </w:tcPr>
          <w:p>
            <w:pPr>
              <w:spacing w:after="0"/>
              <w:rPr>
                <w:sz w:val="15"/>
                <w:szCs w:val="15"/>
                <w:color w:val="auto"/>
              </w:rPr>
            </w:pPr>
          </w:p>
        </w:tc>
        <w:tc>
          <w:tcPr>
            <w:tcW w:w="60" w:type="dxa"/>
            <w:vAlign w:val="bottom"/>
            <w:tcBorders>
              <w:top w:val="single" w:sz="8" w:color="auto"/>
              <w:bottom w:val="single" w:sz="8" w:color="EAEAEA"/>
            </w:tcBorders>
          </w:tcPr>
          <w:p>
            <w:pPr>
              <w:spacing w:after="0"/>
              <w:rPr>
                <w:sz w:val="15"/>
                <w:szCs w:val="15"/>
                <w:color w:val="auto"/>
              </w:rPr>
            </w:pPr>
          </w:p>
        </w:tc>
        <w:tc>
          <w:tcPr>
            <w:tcW w:w="100" w:type="dxa"/>
            <w:vAlign w:val="bottom"/>
            <w:tcBorders>
              <w:bottom w:val="single" w:sz="8" w:color="EAEAEA"/>
            </w:tcBorders>
          </w:tcPr>
          <w:p>
            <w:pPr>
              <w:spacing w:after="0"/>
              <w:rPr>
                <w:sz w:val="15"/>
                <w:szCs w:val="15"/>
                <w:color w:val="auto"/>
              </w:rPr>
            </w:pPr>
          </w:p>
        </w:tc>
        <w:tc>
          <w:tcPr>
            <w:tcW w:w="7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EAEAEA"/>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5"/>
                <w:szCs w:val="15"/>
                <w:color w:val="auto"/>
              </w:rPr>
            </w:pPr>
          </w:p>
        </w:tc>
        <w:tc>
          <w:tcPr>
            <w:tcW w:w="40" w:type="dxa"/>
            <w:vAlign w:val="bottom"/>
            <w:tcBorders>
              <w:top w:val="single" w:sz="8" w:color="auto"/>
              <w:bottom w:val="single" w:sz="8" w:color="EAEAEA"/>
            </w:tcBorders>
          </w:tcPr>
          <w:p>
            <w:pPr>
              <w:spacing w:after="0"/>
              <w:rPr>
                <w:sz w:val="15"/>
                <w:szCs w:val="15"/>
                <w:color w:val="auto"/>
              </w:rPr>
            </w:pPr>
          </w:p>
        </w:tc>
        <w:tc>
          <w:tcPr>
            <w:tcW w:w="60" w:type="dxa"/>
            <w:vAlign w:val="bottom"/>
            <w:tcBorders>
              <w:top w:val="single" w:sz="8" w:color="auto"/>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EAEAEA"/>
          </w:tcPr>
          <w:p>
            <w:pPr>
              <w:spacing w:after="0" w:line="202" w:lineRule="exact"/>
              <w:rPr>
                <w:sz w:val="20"/>
                <w:szCs w:val="20"/>
                <w:color w:val="auto"/>
              </w:rPr>
            </w:pPr>
            <w:r>
              <w:rPr>
                <w:rFonts w:ascii="Times New Roman" w:cs="Times New Roman" w:eastAsia="Times New Roman" w:hAnsi="Times New Roman"/>
                <w:sz w:val="18"/>
                <w:szCs w:val="18"/>
                <w:b w:val="1"/>
                <w:bCs w:val="1"/>
                <w:color w:val="auto"/>
                <w:shd w:val="clear" w:color="auto" w:fill="EAEAEA"/>
              </w:rPr>
              <w:t>Funded status at end of year</w:t>
            </w: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60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48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411,449</w:t>
            </w:r>
          </w:p>
        </w:tc>
        <w:tc>
          <w:tcPr>
            <w:tcW w:w="220" w:type="dxa"/>
            <w:vAlign w:val="bottom"/>
          </w:tcPr>
          <w:p>
            <w:pPr>
              <w:spacing w:after="0"/>
              <w:rPr>
                <w:sz w:val="17"/>
                <w:szCs w:val="17"/>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Benefit obligations</w:t>
            </w:r>
          </w:p>
        </w:tc>
        <w:tc>
          <w:tcPr>
            <w:tcW w:w="2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(335,690</w:t>
            </w: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20" w:type="dxa"/>
            <w:vAlign w:val="bottom"/>
            <w:shd w:val="clear" w:color="auto" w:fill="EAEAEA"/>
          </w:tcPr>
          <w:p>
            <w:pPr>
              <w:spacing w:after="0"/>
              <w:rPr>
                <w:sz w:val="17"/>
                <w:szCs w:val="17"/>
                <w:color w:val="auto"/>
              </w:rPr>
            </w:pPr>
          </w:p>
        </w:tc>
        <w:tc>
          <w:tcPr>
            <w:tcW w:w="2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(321,210</w:t>
            </w:r>
          </w:p>
        </w:tc>
        <w:tc>
          <w:tcPr>
            <w:tcW w:w="220" w:type="dxa"/>
            <w:vAlign w:val="bottom"/>
            <w:shd w:val="clear" w:color="auto" w:fill="EAEAEA"/>
          </w:tcPr>
          <w:p>
            <w:pPr>
              <w:jc w:val="right"/>
              <w:ind w:right="1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680" w:type="dxa"/>
            <w:vAlign w:val="bottom"/>
            <w:tcBorders>
              <w:bottom w:val="single" w:sz="8" w:color="auto"/>
            </w:tcBorders>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EAEAEA"/>
              </w:rPr>
              <w:t>(724</w:t>
            </w:r>
          </w:p>
        </w:tc>
        <w:tc>
          <w:tcPr>
            <w:tcW w:w="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tcBorders>
              <w:bottom w:val="single" w:sz="8" w:color="auto"/>
            </w:tcBorders>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EAEAEA"/>
              </w:rPr>
              <w:t>(752</w:t>
            </w:r>
          </w:p>
        </w:tc>
        <w:tc>
          <w:tcPr>
            <w:tcW w:w="20" w:type="dxa"/>
            <w:vAlign w:val="bottom"/>
            <w:tcBorders>
              <w:bottom w:val="single" w:sz="8" w:color="auto"/>
            </w:tcBorders>
            <w:shd w:val="clear" w:color="auto" w:fill="EAEAEA"/>
          </w:tcPr>
          <w:p>
            <w:pPr>
              <w:spacing w:after="0"/>
              <w:rPr>
                <w:sz w:val="17"/>
                <w:szCs w:val="17"/>
                <w:color w:val="auto"/>
              </w:rPr>
            </w:pPr>
          </w:p>
        </w:tc>
        <w:tc>
          <w:tcPr>
            <w:tcW w:w="200" w:type="dxa"/>
            <w:vAlign w:val="bottom"/>
            <w:shd w:val="clear" w:color="auto" w:fill="EAEAEA"/>
          </w:tcPr>
          <w:p>
            <w:pPr>
              <w:jc w:val="right"/>
              <w:ind w:right="12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80" w:type="dxa"/>
            <w:vAlign w:val="bottom"/>
            <w:tcBorders>
              <w:bottom w:val="single" w:sz="8" w:color="auto"/>
            </w:tcBorders>
            <w:shd w:val="clear" w:color="auto" w:fill="EAEAEA"/>
          </w:tcPr>
          <w:p>
            <w:pPr>
              <w:spacing w:after="0"/>
              <w:rPr>
                <w:sz w:val="17"/>
                <w:szCs w:val="17"/>
                <w:color w:val="auto"/>
              </w:rPr>
            </w:pPr>
          </w:p>
        </w:tc>
        <w:tc>
          <w:tcPr>
            <w:tcW w:w="600" w:type="dxa"/>
            <w:vAlign w:val="bottom"/>
            <w:tcBorders>
              <w:bottom w:val="single" w:sz="8" w:color="auto"/>
            </w:tcBorders>
            <w:shd w:val="clear" w:color="auto" w:fill="EAEAEA"/>
          </w:tcPr>
          <w:p>
            <w:pPr>
              <w:spacing w:after="0"/>
              <w:rPr>
                <w:sz w:val="17"/>
                <w:szCs w:val="17"/>
                <w:color w:val="auto"/>
              </w:rPr>
            </w:pPr>
          </w:p>
        </w:tc>
        <w:tc>
          <w:tcPr>
            <w:tcW w:w="340" w:type="dxa"/>
            <w:vAlign w:val="bottom"/>
            <w:tcBorders>
              <w:bottom w:val="single" w:sz="8" w:color="auto"/>
            </w:tcBorders>
            <w:shd w:val="clear" w:color="auto" w:fill="EAEAEA"/>
          </w:tcPr>
          <w:p>
            <w:pPr>
              <w:spacing w:after="0"/>
              <w:rPr>
                <w:sz w:val="20"/>
                <w:szCs w:val="20"/>
                <w:color w:val="auto"/>
              </w:rPr>
            </w:pPr>
            <w:r>
              <w:rPr>
                <w:rFonts w:ascii="Times New Roman" w:cs="Times New Roman" w:eastAsia="Times New Roman" w:hAnsi="Times New Roman"/>
                <w:sz w:val="18"/>
                <w:szCs w:val="18"/>
                <w:color w:val="auto"/>
                <w:w w:val="96"/>
                <w:shd w:val="clear" w:color="auto" w:fill="EAEAEA"/>
              </w:rPr>
              <w:t>(355</w:t>
            </w: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00" w:type="dxa"/>
            <w:vAlign w:val="bottom"/>
            <w:tcBorders>
              <w:bottom w:val="single" w:sz="8" w:color="auto"/>
            </w:tcBorders>
            <w:shd w:val="clear" w:color="auto" w:fill="EAEAEA"/>
          </w:tcPr>
          <w:p>
            <w:pPr>
              <w:spacing w:after="0"/>
              <w:rPr>
                <w:sz w:val="17"/>
                <w:szCs w:val="17"/>
                <w:color w:val="auto"/>
              </w:rPr>
            </w:pPr>
          </w:p>
        </w:tc>
        <w:tc>
          <w:tcPr>
            <w:tcW w:w="480" w:type="dxa"/>
            <w:vAlign w:val="bottom"/>
            <w:tcBorders>
              <w:bottom w:val="single" w:sz="8" w:color="auto"/>
            </w:tcBorders>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EAEAEA"/>
              </w:rPr>
              <w:t>(396</w:t>
            </w:r>
          </w:p>
        </w:tc>
        <w:tc>
          <w:tcPr>
            <w:tcW w:w="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0" w:type="dxa"/>
            <w:vAlign w:val="bottom"/>
          </w:tcPr>
          <w:p>
            <w:pPr>
              <w:spacing w:after="0"/>
              <w:rPr>
                <w:sz w:val="1"/>
                <w:szCs w:val="1"/>
                <w:color w:val="auto"/>
              </w:rPr>
            </w:pPr>
          </w:p>
        </w:tc>
      </w:tr>
      <w:tr>
        <w:trPr>
          <w:trHeight w:val="183"/>
        </w:trPr>
        <w:tc>
          <w:tcPr>
            <w:tcW w:w="35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Funded status and amount recognized at end of</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(724)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w w:val="92"/>
              </w:rPr>
              <w:t>(752)</w:t>
            </w:r>
          </w:p>
        </w:tc>
        <w:tc>
          <w:tcPr>
            <w:tcW w:w="80" w:type="dxa"/>
            <w:vAlign w:val="bottom"/>
          </w:tcPr>
          <w:p>
            <w:pPr>
              <w:spacing w:after="0"/>
              <w:rPr>
                <w:sz w:val="15"/>
                <w:szCs w:val="15"/>
                <w:color w:val="auto"/>
              </w:rPr>
            </w:pP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6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90,239</w:t>
            </w:r>
          </w:p>
        </w:tc>
        <w:tc>
          <w:tcPr>
            <w:tcW w:w="220" w:type="dxa"/>
            <w:vAlign w:val="bottom"/>
          </w:tcPr>
          <w:p>
            <w:pPr>
              <w:spacing w:after="0"/>
              <w:rPr>
                <w:sz w:val="23"/>
                <w:szCs w:val="23"/>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540" w:type="dxa"/>
            <w:vAlign w:val="bottom"/>
            <w:tcBorders>
              <w:top w:val="single" w:sz="8" w:color="EAEAEA"/>
            </w:tcBorders>
            <w:shd w:val="clear" w:color="auto" w:fill="EAEAEA"/>
          </w:tcPr>
          <w:p>
            <w:pPr>
              <w:spacing w:after="0"/>
              <w:rPr>
                <w:sz w:val="16"/>
                <w:szCs w:val="16"/>
                <w:color w:val="auto"/>
              </w:rPr>
            </w:pPr>
          </w:p>
        </w:tc>
        <w:tc>
          <w:tcPr>
            <w:tcW w:w="220" w:type="dxa"/>
            <w:vAlign w:val="bottom"/>
            <w:tcBorders>
              <w:top w:val="single" w:sz="8" w:color="auto"/>
            </w:tcBorders>
            <w:shd w:val="clear" w:color="auto" w:fill="EAEAEA"/>
          </w:tcPr>
          <w:p>
            <w:pPr>
              <w:spacing w:after="0"/>
              <w:rPr>
                <w:sz w:val="16"/>
                <w:szCs w:val="16"/>
                <w:color w:val="auto"/>
              </w:rPr>
            </w:pPr>
          </w:p>
        </w:tc>
        <w:tc>
          <w:tcPr>
            <w:tcW w:w="800" w:type="dxa"/>
            <w:vAlign w:val="bottom"/>
            <w:tcBorders>
              <w:top w:val="single" w:sz="8" w:color="auto"/>
            </w:tcBorders>
            <w:shd w:val="clear" w:color="auto" w:fill="EAEAEA"/>
          </w:tcPr>
          <w:p>
            <w:pPr>
              <w:spacing w:after="0"/>
              <w:rPr>
                <w:sz w:val="16"/>
                <w:szCs w:val="16"/>
                <w:color w:val="auto"/>
              </w:rPr>
            </w:pPr>
          </w:p>
        </w:tc>
        <w:tc>
          <w:tcPr>
            <w:tcW w:w="20" w:type="dxa"/>
            <w:vAlign w:val="bottom"/>
            <w:tcBorders>
              <w:top w:val="single" w:sz="8" w:color="EAEAEA"/>
            </w:tcBorders>
            <w:shd w:val="clear" w:color="auto" w:fill="EAEAEA"/>
          </w:tcPr>
          <w:p>
            <w:pPr>
              <w:spacing w:after="0"/>
              <w:rPr>
                <w:sz w:val="16"/>
                <w:szCs w:val="16"/>
                <w:color w:val="auto"/>
              </w:rPr>
            </w:pPr>
          </w:p>
        </w:tc>
        <w:tc>
          <w:tcPr>
            <w:tcW w:w="80" w:type="dxa"/>
            <w:vAlign w:val="bottom"/>
            <w:tcBorders>
              <w:top w:val="single" w:sz="8" w:color="EAEAEA"/>
            </w:tcBorders>
            <w:shd w:val="clear" w:color="auto" w:fill="EAEAEA"/>
          </w:tcPr>
          <w:p>
            <w:pPr>
              <w:spacing w:after="0"/>
              <w:rPr>
                <w:sz w:val="16"/>
                <w:szCs w:val="16"/>
                <w:color w:val="auto"/>
              </w:rPr>
            </w:pPr>
          </w:p>
        </w:tc>
        <w:tc>
          <w:tcPr>
            <w:tcW w:w="120" w:type="dxa"/>
            <w:vAlign w:val="bottom"/>
            <w:tcBorders>
              <w:top w:val="single" w:sz="8" w:color="EAEAEA"/>
            </w:tcBorders>
            <w:shd w:val="clear" w:color="auto" w:fill="EAEAEA"/>
          </w:tcPr>
          <w:p>
            <w:pPr>
              <w:spacing w:after="0"/>
              <w:rPr>
                <w:sz w:val="16"/>
                <w:szCs w:val="16"/>
                <w:color w:val="auto"/>
              </w:rPr>
            </w:pPr>
          </w:p>
        </w:tc>
        <w:tc>
          <w:tcPr>
            <w:tcW w:w="220" w:type="dxa"/>
            <w:vAlign w:val="bottom"/>
            <w:tcBorders>
              <w:top w:val="single" w:sz="8" w:color="auto"/>
            </w:tcBorders>
            <w:shd w:val="clear" w:color="auto" w:fill="EAEAEA"/>
          </w:tcPr>
          <w:p>
            <w:pPr>
              <w:spacing w:after="0"/>
              <w:rPr>
                <w:sz w:val="16"/>
                <w:szCs w:val="16"/>
                <w:color w:val="auto"/>
              </w:rPr>
            </w:pPr>
          </w:p>
        </w:tc>
        <w:tc>
          <w:tcPr>
            <w:tcW w:w="800" w:type="dxa"/>
            <w:vAlign w:val="bottom"/>
            <w:tcBorders>
              <w:top w:val="single" w:sz="8" w:color="auto"/>
            </w:tcBorders>
            <w:shd w:val="clear" w:color="auto" w:fill="EAEAEA"/>
          </w:tcPr>
          <w:p>
            <w:pPr>
              <w:spacing w:after="0"/>
              <w:rPr>
                <w:sz w:val="16"/>
                <w:szCs w:val="16"/>
                <w:color w:val="auto"/>
              </w:rPr>
            </w:pPr>
          </w:p>
        </w:tc>
        <w:tc>
          <w:tcPr>
            <w:tcW w:w="220" w:type="dxa"/>
            <w:vAlign w:val="bottom"/>
            <w:tcBorders>
              <w:top w:val="single" w:sz="8" w:color="EAEAEA"/>
            </w:tcBorders>
            <w:shd w:val="clear" w:color="auto" w:fill="EAEAEA"/>
          </w:tcPr>
          <w:p>
            <w:pPr>
              <w:spacing w:after="0"/>
              <w:rPr>
                <w:sz w:val="16"/>
                <w:szCs w:val="16"/>
                <w:color w:val="auto"/>
              </w:rPr>
            </w:pPr>
          </w:p>
        </w:tc>
        <w:tc>
          <w:tcPr>
            <w:tcW w:w="680" w:type="dxa"/>
            <w:vAlign w:val="bottom"/>
            <w:tcBorders>
              <w:top w:val="single" w:sz="8" w:color="auto"/>
            </w:tcBorders>
            <w:shd w:val="clear" w:color="auto" w:fill="EAEAEA"/>
          </w:tcPr>
          <w:p>
            <w:pPr>
              <w:spacing w:after="0"/>
              <w:rPr>
                <w:sz w:val="16"/>
                <w:szCs w:val="16"/>
                <w:color w:val="auto"/>
              </w:rPr>
            </w:pPr>
          </w:p>
        </w:tc>
        <w:tc>
          <w:tcPr>
            <w:tcW w:w="320" w:type="dxa"/>
            <w:vAlign w:val="bottom"/>
            <w:tcBorders>
              <w:top w:val="single" w:sz="8" w:color="auto"/>
            </w:tcBorders>
            <w:shd w:val="clear" w:color="auto" w:fill="EAEAEA"/>
          </w:tcPr>
          <w:p>
            <w:pPr>
              <w:spacing w:after="0"/>
              <w:rPr>
                <w:sz w:val="16"/>
                <w:szCs w:val="16"/>
                <w:color w:val="auto"/>
              </w:rPr>
            </w:pPr>
          </w:p>
        </w:tc>
        <w:tc>
          <w:tcPr>
            <w:tcW w:w="60" w:type="dxa"/>
            <w:vAlign w:val="bottom"/>
            <w:tcBorders>
              <w:top w:val="single" w:sz="8" w:color="EAEAEA"/>
            </w:tcBorders>
            <w:shd w:val="clear" w:color="auto" w:fill="EAEAEA"/>
          </w:tcPr>
          <w:p>
            <w:pPr>
              <w:spacing w:after="0"/>
              <w:rPr>
                <w:sz w:val="16"/>
                <w:szCs w:val="16"/>
                <w:color w:val="auto"/>
              </w:rPr>
            </w:pPr>
          </w:p>
        </w:tc>
        <w:tc>
          <w:tcPr>
            <w:tcW w:w="60" w:type="dxa"/>
            <w:vAlign w:val="bottom"/>
            <w:tcBorders>
              <w:top w:val="single" w:sz="8" w:color="EAEAEA"/>
            </w:tcBorders>
            <w:shd w:val="clear" w:color="auto" w:fill="EAEAEA"/>
          </w:tcPr>
          <w:p>
            <w:pPr>
              <w:spacing w:after="0"/>
              <w:rPr>
                <w:sz w:val="16"/>
                <w:szCs w:val="16"/>
                <w:color w:val="auto"/>
              </w:rPr>
            </w:pPr>
          </w:p>
        </w:tc>
        <w:tc>
          <w:tcPr>
            <w:tcW w:w="100" w:type="dxa"/>
            <w:vAlign w:val="bottom"/>
            <w:tcBorders>
              <w:top w:val="single" w:sz="8" w:color="EAEAEA"/>
            </w:tcBorders>
            <w:shd w:val="clear" w:color="auto" w:fill="EAEAEA"/>
          </w:tcPr>
          <w:p>
            <w:pPr>
              <w:spacing w:after="0"/>
              <w:rPr>
                <w:sz w:val="16"/>
                <w:szCs w:val="16"/>
                <w:color w:val="auto"/>
              </w:rPr>
            </w:pPr>
          </w:p>
        </w:tc>
        <w:tc>
          <w:tcPr>
            <w:tcW w:w="700" w:type="dxa"/>
            <w:vAlign w:val="bottom"/>
            <w:tcBorders>
              <w:top w:val="single" w:sz="8" w:color="auto"/>
            </w:tcBorders>
            <w:shd w:val="clear" w:color="auto" w:fill="EAEAEA"/>
          </w:tcPr>
          <w:p>
            <w:pPr>
              <w:spacing w:after="0"/>
              <w:rPr>
                <w:sz w:val="16"/>
                <w:szCs w:val="16"/>
                <w:color w:val="auto"/>
              </w:rPr>
            </w:pPr>
          </w:p>
        </w:tc>
        <w:tc>
          <w:tcPr>
            <w:tcW w:w="320" w:type="dxa"/>
            <w:vAlign w:val="bottom"/>
            <w:tcBorders>
              <w:top w:val="single" w:sz="8" w:color="auto"/>
            </w:tcBorders>
            <w:shd w:val="clear" w:color="auto" w:fill="EAEAEA"/>
          </w:tcPr>
          <w:p>
            <w:pPr>
              <w:spacing w:after="0"/>
              <w:rPr>
                <w:sz w:val="16"/>
                <w:szCs w:val="16"/>
                <w:color w:val="auto"/>
              </w:rPr>
            </w:pPr>
          </w:p>
        </w:tc>
        <w:tc>
          <w:tcPr>
            <w:tcW w:w="20" w:type="dxa"/>
            <w:vAlign w:val="bottom"/>
            <w:tcBorders>
              <w:top w:val="single" w:sz="8" w:color="auto"/>
            </w:tcBorders>
            <w:shd w:val="clear" w:color="auto" w:fill="EAEAEA"/>
          </w:tcPr>
          <w:p>
            <w:pPr>
              <w:spacing w:after="0"/>
              <w:rPr>
                <w:sz w:val="16"/>
                <w:szCs w:val="16"/>
                <w:color w:val="auto"/>
              </w:rPr>
            </w:pPr>
          </w:p>
        </w:tc>
        <w:tc>
          <w:tcPr>
            <w:tcW w:w="200" w:type="dxa"/>
            <w:vAlign w:val="bottom"/>
            <w:tcBorders>
              <w:top w:val="single" w:sz="8" w:color="EAEAEA"/>
            </w:tcBorders>
            <w:shd w:val="clear" w:color="auto" w:fill="EAEAEA"/>
          </w:tcPr>
          <w:p>
            <w:pPr>
              <w:spacing w:after="0"/>
              <w:rPr>
                <w:sz w:val="16"/>
                <w:szCs w:val="16"/>
                <w:color w:val="auto"/>
              </w:rPr>
            </w:pPr>
          </w:p>
        </w:tc>
        <w:tc>
          <w:tcPr>
            <w:tcW w:w="80" w:type="dxa"/>
            <w:vAlign w:val="bottom"/>
            <w:tcBorders>
              <w:top w:val="single" w:sz="8" w:color="auto"/>
            </w:tcBorders>
            <w:shd w:val="clear" w:color="auto" w:fill="EAEAEA"/>
          </w:tcPr>
          <w:p>
            <w:pPr>
              <w:spacing w:after="0"/>
              <w:rPr>
                <w:sz w:val="16"/>
                <w:szCs w:val="16"/>
                <w:color w:val="auto"/>
              </w:rPr>
            </w:pPr>
          </w:p>
        </w:tc>
        <w:tc>
          <w:tcPr>
            <w:tcW w:w="600" w:type="dxa"/>
            <w:vAlign w:val="bottom"/>
            <w:tcBorders>
              <w:top w:val="single" w:sz="8" w:color="auto"/>
            </w:tcBorders>
            <w:shd w:val="clear" w:color="auto" w:fill="EAEAEA"/>
          </w:tcPr>
          <w:p>
            <w:pPr>
              <w:spacing w:after="0"/>
              <w:rPr>
                <w:sz w:val="16"/>
                <w:szCs w:val="16"/>
                <w:color w:val="auto"/>
              </w:rPr>
            </w:pPr>
          </w:p>
        </w:tc>
        <w:tc>
          <w:tcPr>
            <w:tcW w:w="340" w:type="dxa"/>
            <w:vAlign w:val="bottom"/>
            <w:tcBorders>
              <w:top w:val="single" w:sz="8" w:color="auto"/>
            </w:tcBorders>
            <w:shd w:val="clear" w:color="auto" w:fill="EAEAEA"/>
          </w:tcPr>
          <w:p>
            <w:pPr>
              <w:spacing w:after="0"/>
              <w:rPr>
                <w:sz w:val="16"/>
                <w:szCs w:val="16"/>
                <w:color w:val="auto"/>
              </w:rPr>
            </w:pPr>
          </w:p>
        </w:tc>
        <w:tc>
          <w:tcPr>
            <w:tcW w:w="40" w:type="dxa"/>
            <w:vAlign w:val="bottom"/>
            <w:tcBorders>
              <w:top w:val="single" w:sz="8" w:color="EAEAEA"/>
            </w:tcBorders>
            <w:shd w:val="clear" w:color="auto" w:fill="EAEAEA"/>
          </w:tcPr>
          <w:p>
            <w:pPr>
              <w:spacing w:after="0"/>
              <w:rPr>
                <w:sz w:val="16"/>
                <w:szCs w:val="16"/>
                <w:color w:val="auto"/>
              </w:rPr>
            </w:pPr>
          </w:p>
        </w:tc>
        <w:tc>
          <w:tcPr>
            <w:tcW w:w="60" w:type="dxa"/>
            <w:vAlign w:val="bottom"/>
            <w:tcBorders>
              <w:top w:val="single" w:sz="8" w:color="EAEAEA"/>
            </w:tcBorders>
            <w:shd w:val="clear" w:color="auto" w:fill="EAEAEA"/>
          </w:tcPr>
          <w:p>
            <w:pPr>
              <w:spacing w:after="0"/>
              <w:rPr>
                <w:sz w:val="16"/>
                <w:szCs w:val="16"/>
                <w:color w:val="auto"/>
              </w:rPr>
            </w:pPr>
          </w:p>
        </w:tc>
        <w:tc>
          <w:tcPr>
            <w:tcW w:w="120" w:type="dxa"/>
            <w:vAlign w:val="bottom"/>
            <w:tcBorders>
              <w:top w:val="single" w:sz="8" w:color="EAEAEA"/>
            </w:tcBorders>
            <w:shd w:val="clear" w:color="auto" w:fill="EAEAEA"/>
          </w:tcPr>
          <w:p>
            <w:pPr>
              <w:spacing w:after="0"/>
              <w:rPr>
                <w:sz w:val="16"/>
                <w:szCs w:val="16"/>
                <w:color w:val="auto"/>
              </w:rPr>
            </w:pPr>
          </w:p>
        </w:tc>
        <w:tc>
          <w:tcPr>
            <w:tcW w:w="200" w:type="dxa"/>
            <w:vAlign w:val="bottom"/>
            <w:tcBorders>
              <w:top w:val="single" w:sz="8" w:color="auto"/>
            </w:tcBorders>
            <w:shd w:val="clear" w:color="auto" w:fill="EAEAEA"/>
          </w:tcPr>
          <w:p>
            <w:pPr>
              <w:spacing w:after="0"/>
              <w:rPr>
                <w:sz w:val="16"/>
                <w:szCs w:val="16"/>
                <w:color w:val="auto"/>
              </w:rPr>
            </w:pPr>
          </w:p>
        </w:tc>
        <w:tc>
          <w:tcPr>
            <w:tcW w:w="480" w:type="dxa"/>
            <w:vAlign w:val="bottom"/>
            <w:tcBorders>
              <w:top w:val="single" w:sz="8" w:color="auto"/>
            </w:tcBorders>
            <w:shd w:val="clear" w:color="auto" w:fill="EAEAEA"/>
          </w:tcPr>
          <w:p>
            <w:pPr>
              <w:spacing w:after="0"/>
              <w:rPr>
                <w:sz w:val="16"/>
                <w:szCs w:val="16"/>
                <w:color w:val="auto"/>
              </w:rPr>
            </w:pPr>
          </w:p>
        </w:tc>
        <w:tc>
          <w:tcPr>
            <w:tcW w:w="320" w:type="dxa"/>
            <w:vAlign w:val="bottom"/>
            <w:tcBorders>
              <w:top w:val="single" w:sz="8" w:color="auto"/>
            </w:tcBorders>
            <w:shd w:val="clear" w:color="auto" w:fill="EAEAEA"/>
          </w:tcPr>
          <w:p>
            <w:pPr>
              <w:spacing w:after="0"/>
              <w:rPr>
                <w:sz w:val="16"/>
                <w:szCs w:val="16"/>
                <w:color w:val="auto"/>
              </w:rPr>
            </w:pPr>
          </w:p>
        </w:tc>
        <w:tc>
          <w:tcPr>
            <w:tcW w:w="80" w:type="dxa"/>
            <w:vAlign w:val="bottom"/>
            <w:tcBorders>
              <w:top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Amounts recognized in the consolidated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40" w:type="dxa"/>
            <w:vAlign w:val="bottom"/>
            <w:tcBorders>
              <w:bottom w:val="single" w:sz="8" w:color="EAEAEA"/>
            </w:tcBorders>
            <w:shd w:val="clear" w:color="auto" w:fill="EAEAEA"/>
          </w:tcPr>
          <w:p>
            <w:pPr>
              <w:ind w:left="200"/>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Noncurrent asset</w:t>
            </w:r>
          </w:p>
        </w:tc>
        <w:tc>
          <w:tcPr>
            <w:tcW w:w="220" w:type="dxa"/>
            <w:vAlign w:val="bottom"/>
            <w:tcBorders>
              <w:bottom w:val="single" w:sz="8" w:color="EAEAEA"/>
            </w:tcBorders>
            <w:shd w:val="clear" w:color="auto" w:fill="EAEAEA"/>
          </w:tcPr>
          <w:p>
            <w:pPr>
              <w:spacing w:after="0"/>
              <w:rPr>
                <w:sz w:val="16"/>
                <w:szCs w:val="16"/>
                <w:color w:val="auto"/>
              </w:rPr>
            </w:pPr>
          </w:p>
        </w:tc>
        <w:tc>
          <w:tcPr>
            <w:tcW w:w="80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125,555</w:t>
            </w:r>
          </w:p>
        </w:tc>
        <w:tc>
          <w:tcPr>
            <w:tcW w:w="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220" w:type="dxa"/>
            <w:vAlign w:val="bottom"/>
            <w:tcBorders>
              <w:bottom w:val="single" w:sz="8" w:color="EAEAEA"/>
            </w:tcBorders>
            <w:shd w:val="clear" w:color="auto" w:fill="EAEAEA"/>
          </w:tcPr>
          <w:p>
            <w:pPr>
              <w:spacing w:after="0"/>
              <w:rPr>
                <w:sz w:val="16"/>
                <w:szCs w:val="16"/>
                <w:color w:val="auto"/>
              </w:rPr>
            </w:pPr>
          </w:p>
        </w:tc>
        <w:tc>
          <w:tcPr>
            <w:tcW w:w="80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93,023</w:t>
            </w:r>
          </w:p>
        </w:tc>
        <w:tc>
          <w:tcPr>
            <w:tcW w:w="220" w:type="dxa"/>
            <w:vAlign w:val="bottom"/>
            <w:tcBorders>
              <w:bottom w:val="single" w:sz="8" w:color="EAEAEA"/>
            </w:tcBorders>
            <w:shd w:val="clear" w:color="auto" w:fill="EAEAEA"/>
          </w:tcPr>
          <w:p>
            <w:pPr>
              <w:spacing w:after="0"/>
              <w:rPr>
                <w:sz w:val="16"/>
                <w:szCs w:val="16"/>
                <w:color w:val="auto"/>
              </w:rPr>
            </w:pPr>
          </w:p>
        </w:tc>
        <w:tc>
          <w:tcPr>
            <w:tcW w:w="680" w:type="dxa"/>
            <w:vAlign w:val="bottom"/>
            <w:tcBorders>
              <w:bottom w:val="single" w:sz="8" w:color="EAEAEA"/>
            </w:tcBorders>
            <w:shd w:val="clear" w:color="auto" w:fill="EAEAEA"/>
          </w:tcPr>
          <w:p>
            <w:pPr>
              <w:spacing w:after="0"/>
              <w:rPr>
                <w:sz w:val="16"/>
                <w:szCs w:val="16"/>
                <w:color w:val="auto"/>
              </w:rPr>
            </w:pPr>
          </w:p>
        </w:tc>
        <w:tc>
          <w:tcPr>
            <w:tcW w:w="32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700" w:type="dxa"/>
            <w:vAlign w:val="bottom"/>
            <w:tcBorders>
              <w:bottom w:val="single" w:sz="8" w:color="EAEAEA"/>
            </w:tcBorders>
            <w:shd w:val="clear" w:color="auto" w:fill="EAEAEA"/>
          </w:tcPr>
          <w:p>
            <w:pPr>
              <w:spacing w:after="0"/>
              <w:rPr>
                <w:sz w:val="16"/>
                <w:szCs w:val="16"/>
                <w:color w:val="auto"/>
              </w:rPr>
            </w:pPr>
          </w:p>
        </w:tc>
        <w:tc>
          <w:tcPr>
            <w:tcW w:w="3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20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60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200" w:type="dxa"/>
            <w:vAlign w:val="bottom"/>
            <w:tcBorders>
              <w:bottom w:val="single" w:sz="8" w:color="EAEAEA"/>
            </w:tcBorders>
            <w:shd w:val="clear" w:color="auto" w:fill="EAEAEA"/>
          </w:tcPr>
          <w:p>
            <w:pPr>
              <w:spacing w:after="0"/>
              <w:rPr>
                <w:sz w:val="16"/>
                <w:szCs w:val="16"/>
                <w:color w:val="auto"/>
              </w:rPr>
            </w:pPr>
          </w:p>
        </w:tc>
        <w:tc>
          <w:tcPr>
            <w:tcW w:w="480" w:type="dxa"/>
            <w:vAlign w:val="bottom"/>
            <w:tcBorders>
              <w:bottom w:val="single" w:sz="8" w:color="EAEAEA"/>
            </w:tcBorders>
            <w:shd w:val="clear" w:color="auto" w:fill="EAEAEA"/>
          </w:tcPr>
          <w:p>
            <w:pPr>
              <w:spacing w:after="0"/>
              <w:rPr>
                <w:sz w:val="16"/>
                <w:szCs w:val="16"/>
                <w:color w:val="auto"/>
              </w:rPr>
            </w:pPr>
          </w:p>
        </w:tc>
        <w:tc>
          <w:tcPr>
            <w:tcW w:w="3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2"/>
              </w:rPr>
              <w:t>(105)</w:t>
            </w:r>
          </w:p>
        </w:tc>
        <w:tc>
          <w:tcPr>
            <w:tcW w:w="8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7"/>
        </w:trPr>
        <w:tc>
          <w:tcPr>
            <w:tcW w:w="35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Long-term liability</w:t>
            </w: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shd w:val="clear" w:color="auto" w:fill="EAEAEA"/>
              </w:rPr>
              <w:t>(2,784</w:t>
            </w:r>
          </w:p>
        </w:tc>
        <w:tc>
          <w:tcPr>
            <w:tcW w:w="220" w:type="dxa"/>
            <w:vAlign w:val="bottom"/>
            <w:shd w:val="clear" w:color="auto" w:fill="EAEAEA"/>
          </w:tcPr>
          <w:p>
            <w:pPr>
              <w:jc w:val="right"/>
              <w:ind w:right="14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680" w:type="dxa"/>
            <w:vAlign w:val="bottom"/>
            <w:shd w:val="clear" w:color="auto" w:fill="EAEAEA"/>
          </w:tcPr>
          <w:p>
            <w:pPr>
              <w:spacing w:after="0"/>
              <w:rPr>
                <w:sz w:val="17"/>
                <w:szCs w:val="17"/>
                <w:color w:val="auto"/>
              </w:rPr>
            </w:pPr>
          </w:p>
        </w:tc>
        <w:tc>
          <w:tcPr>
            <w:tcW w:w="3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EAEAEA"/>
              </w:rPr>
              <w:t>(619</w:t>
            </w:r>
          </w:p>
        </w:tc>
        <w:tc>
          <w:tcPr>
            <w:tcW w:w="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3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EAEAEA"/>
              </w:rPr>
              <w:t>(647</w:t>
            </w: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jc w:val="right"/>
              <w:ind w:right="12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80" w:type="dxa"/>
            <w:vAlign w:val="bottom"/>
            <w:shd w:val="clear" w:color="auto" w:fill="EAEAEA"/>
          </w:tcPr>
          <w:p>
            <w:pPr>
              <w:spacing w:after="0"/>
              <w:rPr>
                <w:sz w:val="17"/>
                <w:szCs w:val="17"/>
                <w:color w:val="auto"/>
              </w:rPr>
            </w:pPr>
          </w:p>
        </w:tc>
        <w:tc>
          <w:tcPr>
            <w:tcW w:w="60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color w:val="auto"/>
                <w:w w:val="96"/>
                <w:shd w:val="clear" w:color="auto" w:fill="EAEAEA"/>
              </w:rPr>
              <w:t>(311</w:t>
            </w:r>
          </w:p>
        </w:tc>
        <w:tc>
          <w:tcPr>
            <w:tcW w:w="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480" w:type="dxa"/>
            <w:vAlign w:val="bottom"/>
            <w:shd w:val="clear" w:color="auto" w:fill="EAEAEA"/>
          </w:tcPr>
          <w:p>
            <w:pPr>
              <w:spacing w:after="0"/>
              <w:rPr>
                <w:sz w:val="17"/>
                <w:szCs w:val="17"/>
                <w:color w:val="auto"/>
              </w:rPr>
            </w:pPr>
          </w:p>
        </w:tc>
        <w:tc>
          <w:tcPr>
            <w:tcW w:w="3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EAEAEA"/>
              </w:rPr>
              <w:t>(349</w:t>
            </w:r>
          </w:p>
        </w:tc>
        <w:tc>
          <w:tcPr>
            <w:tcW w:w="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4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Amounts recognized in accumulated other</w:t>
            </w: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60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48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4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comprehensive income</w:t>
            </w: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60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48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actuarial (gain)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1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(96,817)</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07"/>
        </w:trPr>
        <w:tc>
          <w:tcPr>
            <w:tcW w:w="35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shd w:val="clear" w:color="auto" w:fill="EAEAEA"/>
              </w:rPr>
              <w:t>Prior service cost (credit)</w:t>
            </w:r>
          </w:p>
        </w:tc>
        <w:tc>
          <w:tcPr>
            <w:tcW w:w="2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20" w:type="dxa"/>
            <w:vAlign w:val="bottom"/>
            <w:tcBorders>
              <w:bottom w:val="single" w:sz="8" w:color="auto"/>
            </w:tcBorders>
            <w:shd w:val="clear" w:color="auto" w:fill="EAEAEA"/>
          </w:tcPr>
          <w:p>
            <w:pPr>
              <w:spacing w:after="0"/>
              <w:rPr>
                <w:sz w:val="17"/>
                <w:szCs w:val="17"/>
                <w:color w:val="auto"/>
              </w:rPr>
            </w:pPr>
          </w:p>
        </w:tc>
        <w:tc>
          <w:tcPr>
            <w:tcW w:w="800" w:type="dxa"/>
            <w:vAlign w:val="bottom"/>
            <w:tcBorders>
              <w:bottom w:val="single" w:sz="8" w:color="auto"/>
            </w:tcBorders>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680" w:type="dxa"/>
            <w:vAlign w:val="bottom"/>
            <w:tcBorders>
              <w:bottom w:val="single" w:sz="8" w:color="auto"/>
            </w:tcBorders>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00" w:type="dxa"/>
            <w:vAlign w:val="bottom"/>
            <w:tcBorders>
              <w:bottom w:val="single" w:sz="8" w:color="auto"/>
            </w:tcBorders>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spacing w:after="0"/>
              <w:rPr>
                <w:sz w:val="17"/>
                <w:szCs w:val="17"/>
                <w:color w:val="auto"/>
              </w:rPr>
            </w:pPr>
          </w:p>
        </w:tc>
        <w:tc>
          <w:tcPr>
            <w:tcW w:w="20" w:type="dxa"/>
            <w:vAlign w:val="bottom"/>
            <w:tcBorders>
              <w:bottom w:val="single" w:sz="8" w:color="auto"/>
            </w:tcBorders>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80" w:type="dxa"/>
            <w:vAlign w:val="bottom"/>
            <w:tcBorders>
              <w:bottom w:val="single" w:sz="8" w:color="auto"/>
            </w:tcBorders>
            <w:shd w:val="clear" w:color="auto" w:fill="EAEAEA"/>
          </w:tcPr>
          <w:p>
            <w:pPr>
              <w:spacing w:after="0"/>
              <w:rPr>
                <w:sz w:val="17"/>
                <w:szCs w:val="17"/>
                <w:color w:val="auto"/>
              </w:rPr>
            </w:pPr>
          </w:p>
        </w:tc>
        <w:tc>
          <w:tcPr>
            <w:tcW w:w="600" w:type="dxa"/>
            <w:vAlign w:val="bottom"/>
            <w:tcBorders>
              <w:bottom w:val="single" w:sz="8" w:color="auto"/>
            </w:tcBorders>
            <w:shd w:val="clear" w:color="auto" w:fill="EAEAEA"/>
          </w:tcPr>
          <w:p>
            <w:pPr>
              <w:spacing w:after="0"/>
              <w:rPr>
                <w:sz w:val="17"/>
                <w:szCs w:val="17"/>
                <w:color w:val="auto"/>
              </w:rPr>
            </w:pPr>
          </w:p>
        </w:tc>
        <w:tc>
          <w:tcPr>
            <w:tcW w:w="340" w:type="dxa"/>
            <w:vAlign w:val="bottom"/>
            <w:tcBorders>
              <w:bottom w:val="single" w:sz="8" w:color="auto"/>
            </w:tcBorders>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00" w:type="dxa"/>
            <w:vAlign w:val="bottom"/>
            <w:tcBorders>
              <w:bottom w:val="single" w:sz="8" w:color="auto"/>
            </w:tcBorders>
            <w:shd w:val="clear" w:color="auto" w:fill="EAEAEA"/>
          </w:tcPr>
          <w:p>
            <w:pPr>
              <w:spacing w:after="0"/>
              <w:rPr>
                <w:sz w:val="17"/>
                <w:szCs w:val="17"/>
                <w:color w:val="auto"/>
              </w:rPr>
            </w:pPr>
          </w:p>
        </w:tc>
        <w:tc>
          <w:tcPr>
            <w:tcW w:w="480" w:type="dxa"/>
            <w:vAlign w:val="bottom"/>
            <w:tcBorders>
              <w:bottom w:val="single" w:sz="8" w:color="auto"/>
            </w:tcBorders>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Accumulated other compensation income</w:t>
            </w:r>
          </w:p>
        </w:tc>
        <w:tc>
          <w:tcPr>
            <w:tcW w:w="2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(115,856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(96,817)</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(1,325)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(1,613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-2457450</wp:posOffset>
            </wp:positionV>
            <wp:extent cx="4580890"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44">
                      <a:extLst>
                        <a:ext uri="{28A0092B-C50C-407E-A947-70E740481C1C}"/>
                      </a:extLst>
                    </a:blip>
                    <a:srcRect/>
                    <a:stretch>
                      <a:fillRect/>
                    </a:stretch>
                  </pic:blipFill>
                  <pic:spPr bwMode="auto">
                    <a:xfrm>
                      <a:off x="0" y="0"/>
                      <a:ext cx="4580890" cy="34925"/>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-2321560</wp:posOffset>
            </wp:positionV>
            <wp:extent cx="66738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45">
                      <a:extLst>
                        <a:ext uri="{28A0092B-C50C-407E-A947-70E740481C1C}"/>
                      </a:extLst>
                    </a:blip>
                    <a:srcRect/>
                    <a:stretch>
                      <a:fillRect/>
                    </a:stretch>
                  </pic:blipFill>
                  <pic:spPr bwMode="auto">
                    <a:xfrm>
                      <a:off x="0" y="0"/>
                      <a:ext cx="667385" cy="2540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-1918335</wp:posOffset>
            </wp:positionV>
            <wp:extent cx="66738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46">
                      <a:extLst>
                        <a:ext uri="{28A0092B-C50C-407E-A947-70E740481C1C}"/>
                      </a:extLst>
                    </a:blip>
                    <a:srcRect/>
                    <a:stretch>
                      <a:fillRect/>
                    </a:stretch>
                  </pic:blipFill>
                  <pic:spPr bwMode="auto">
                    <a:xfrm>
                      <a:off x="0" y="0"/>
                      <a:ext cx="667385" cy="2540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-172085</wp:posOffset>
            </wp:positionV>
            <wp:extent cx="66738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47">
                      <a:extLst>
                        <a:ext uri="{28A0092B-C50C-407E-A947-70E740481C1C}"/>
                      </a:extLst>
                    </a:blip>
                    <a:srcRect/>
                    <a:stretch>
                      <a:fillRect/>
                    </a:stretch>
                  </pic:blipFill>
                  <pic:spPr bwMode="auto">
                    <a:xfrm>
                      <a:off x="0" y="0"/>
                      <a:ext cx="667385" cy="254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-1626870</wp:posOffset>
            </wp:positionV>
            <wp:extent cx="59499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8">
                      <a:extLst>
                        <a:ext uri="{28A0092B-C50C-407E-A947-70E740481C1C}"/>
                      </a:extLst>
                    </a:blip>
                    <a:srcRect/>
                    <a:stretch>
                      <a:fillRect/>
                    </a:stretch>
                  </pic:blipFill>
                  <pic:spPr bwMode="auto">
                    <a:xfrm>
                      <a:off x="0" y="0"/>
                      <a:ext cx="594995" cy="25400"/>
                    </a:xfrm>
                    <a:prstGeom prst="rect">
                      <a:avLst/>
                    </a:prstGeom>
                    <a:noFill/>
                  </pic:spPr>
                </pic:pic>
              </a:graphicData>
            </a:graphic>
          </wp:anchor>
        </w:drawing>
      </w:r>
    </w:p>
    <w:p>
      <w:pPr>
        <w:spacing w:after="0" w:line="160" w:lineRule="exact"/>
        <w:rPr>
          <w:sz w:val="20"/>
          <w:szCs w:val="20"/>
          <w:color w:val="auto"/>
        </w:rPr>
      </w:pPr>
    </w:p>
    <w:p>
      <w:pPr>
        <w:ind w:firstLine="358"/>
        <w:spacing w:after="0" w:line="278" w:lineRule="auto"/>
        <w:rPr>
          <w:sz w:val="20"/>
          <w:szCs w:val="20"/>
          <w:color w:val="auto"/>
        </w:rPr>
      </w:pPr>
      <w:r>
        <w:rPr>
          <w:rFonts w:ascii="Times New Roman" w:cs="Times New Roman" w:eastAsia="Times New Roman" w:hAnsi="Times New Roman"/>
          <w:sz w:val="20"/>
          <w:szCs w:val="20"/>
          <w:color w:val="auto"/>
        </w:rPr>
        <w:t>The following table presents the expected cash flows for the Company’s defined benefit plans and postretirement benefit plan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6"/>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Other Postretirement Benefits</w:t>
            </w:r>
          </w:p>
        </w:tc>
        <w:tc>
          <w:tcPr>
            <w:tcW w:w="60" w:type="dxa"/>
            <w:vAlign w:val="bottom"/>
          </w:tcPr>
          <w:p>
            <w:pPr>
              <w:spacing w:after="0"/>
              <w:rPr>
                <w:sz w:val="17"/>
                <w:szCs w:val="17"/>
                <w:color w:val="auto"/>
              </w:rPr>
            </w:pPr>
          </w:p>
        </w:tc>
      </w:tr>
      <w:tr>
        <w:trPr>
          <w:trHeight w:val="179"/>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right"/>
              <w:ind w:right="564"/>
              <w:spacing w:after="0" w:line="179" w:lineRule="exact"/>
              <w:rPr>
                <w:sz w:val="20"/>
                <w:szCs w:val="20"/>
                <w:color w:val="auto"/>
              </w:rPr>
            </w:pPr>
            <w:r>
              <w:rPr>
                <w:rFonts w:ascii="Times New Roman" w:cs="Times New Roman" w:eastAsia="Times New Roman" w:hAnsi="Times New Roman"/>
                <w:sz w:val="16"/>
                <w:szCs w:val="16"/>
                <w:b w:val="1"/>
                <w:bCs w:val="1"/>
                <w:color w:val="auto"/>
              </w:rPr>
              <w:t>Pension Plans</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gridSpan w:val="4"/>
          </w:tcPr>
          <w:p>
            <w:pPr>
              <w:jc w:val="right"/>
              <w:ind w:right="20"/>
              <w:spacing w:after="0" w:line="179" w:lineRule="exact"/>
              <w:rPr>
                <w:sz w:val="20"/>
                <w:szCs w:val="20"/>
                <w:color w:val="auto"/>
              </w:rPr>
            </w:pPr>
            <w:r>
              <w:rPr>
                <w:rFonts w:ascii="Times New Roman" w:cs="Times New Roman" w:eastAsia="Times New Roman" w:hAnsi="Times New Roman"/>
                <w:sz w:val="16"/>
                <w:szCs w:val="16"/>
                <w:b w:val="1"/>
                <w:bCs w:val="1"/>
                <w:color w:val="auto"/>
              </w:rPr>
              <w:t>SERP</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7"/>
          </w:tcPr>
          <w:p>
            <w:pPr>
              <w:jc w:val="right"/>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Postretirement Welfare Plan</w:t>
            </w:r>
          </w:p>
        </w:tc>
        <w:tc>
          <w:tcPr>
            <w:tcW w:w="60" w:type="dxa"/>
            <w:vAlign w:val="bottom"/>
          </w:tcPr>
          <w:p>
            <w:pPr>
              <w:spacing w:after="0"/>
              <w:rPr>
                <w:sz w:val="15"/>
                <w:szCs w:val="15"/>
                <w:color w:val="auto"/>
              </w:rPr>
            </w:pPr>
          </w:p>
        </w:tc>
      </w:tr>
      <w:tr>
        <w:trPr>
          <w:trHeight w:val="179"/>
        </w:trPr>
        <w:tc>
          <w:tcPr>
            <w:tcW w:w="3520" w:type="dxa"/>
            <w:vAlign w:val="bottom"/>
            <w:tcBorders>
              <w:bottom w:val="single" w:sz="8" w:color="EAEAEA"/>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4"/>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EAEAEA"/>
            </w:tcBorders>
          </w:tcPr>
          <w:p>
            <w:pPr>
              <w:spacing w:after="0"/>
              <w:rPr>
                <w:sz w:val="15"/>
                <w:szCs w:val="15"/>
                <w:color w:val="auto"/>
              </w:rPr>
            </w:pPr>
          </w:p>
        </w:tc>
        <w:tc>
          <w:tcPr>
            <w:tcW w:w="100" w:type="dxa"/>
            <w:vAlign w:val="bottom"/>
            <w:tcBorders>
              <w:bottom w:val="single" w:sz="8" w:color="EAEAEA"/>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4"/>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EAEAE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EAEAEA"/>
            </w:tcBorders>
          </w:tcPr>
          <w:p>
            <w:pPr>
              <w:spacing w:after="0"/>
              <w:rPr>
                <w:sz w:val="15"/>
                <w:szCs w:val="15"/>
                <w:color w:val="auto"/>
              </w:rPr>
            </w:pPr>
          </w:p>
        </w:tc>
        <w:tc>
          <w:tcPr>
            <w:tcW w:w="120" w:type="dxa"/>
            <w:vAlign w:val="bottom"/>
            <w:tcBorders>
              <w:bottom w:val="single" w:sz="8" w:color="EAEAEA"/>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EAEAEA"/>
            </w:tcBorders>
          </w:tcPr>
          <w:p>
            <w:pPr>
              <w:spacing w:after="0"/>
              <w:rPr>
                <w:sz w:val="15"/>
                <w:szCs w:val="15"/>
                <w:color w:val="auto"/>
              </w:rPr>
            </w:pPr>
          </w:p>
        </w:tc>
      </w:tr>
      <w:tr>
        <w:trPr>
          <w:trHeight w:val="225"/>
        </w:trPr>
        <w:tc>
          <w:tcPr>
            <w:tcW w:w="35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b w:val="1"/>
                <w:bCs w:val="1"/>
                <w:color w:val="auto"/>
                <w:shd w:val="clear" w:color="auto" w:fill="EAEAEA"/>
              </w:rPr>
              <w:t>Expected employer contributions</w:t>
            </w:r>
          </w:p>
        </w:tc>
        <w:tc>
          <w:tcPr>
            <w:tcW w:w="22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50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50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6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52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r>
      <w:tr>
        <w:trPr>
          <w:trHeight w:val="268"/>
        </w:trPr>
        <w:tc>
          <w:tcPr>
            <w:tcW w:w="3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First year</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92"/>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3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EAEAEA"/>
              </w:rPr>
              <w:t>Expected benefit payments (gross)</w:t>
            </w:r>
          </w:p>
        </w:tc>
        <w:tc>
          <w:tcPr>
            <w:tcW w:w="220" w:type="dxa"/>
            <w:vAlign w:val="bottom"/>
            <w:shd w:val="clear" w:color="auto" w:fill="EAEAEA"/>
          </w:tcPr>
          <w:p>
            <w:pPr>
              <w:spacing w:after="0"/>
              <w:rPr>
                <w:sz w:val="20"/>
                <w:szCs w:val="20"/>
                <w:color w:val="auto"/>
              </w:rPr>
            </w:pPr>
          </w:p>
        </w:tc>
        <w:tc>
          <w:tcPr>
            <w:tcW w:w="8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8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5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50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52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r>
      <w:tr>
        <w:trPr>
          <w:trHeight w:val="230"/>
        </w:trPr>
        <w:tc>
          <w:tcPr>
            <w:tcW w:w="3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 one</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18,371</w:t>
            </w: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17,765</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w w:val="89"/>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0"/>
                <w:szCs w:val="20"/>
                <w:color w:val="auto"/>
              </w:rPr>
            </w:pPr>
          </w:p>
        </w:tc>
      </w:tr>
      <w:tr>
        <w:trPr>
          <w:trHeight w:val="210"/>
        </w:trPr>
        <w:tc>
          <w:tcPr>
            <w:tcW w:w="3520" w:type="dxa"/>
            <w:vAlign w:val="bottom"/>
            <w:tcBorders>
              <w:bottom w:val="single" w:sz="8" w:color="EAEAEA"/>
            </w:tcBorders>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Year two</w:t>
            </w:r>
          </w:p>
        </w:tc>
        <w:tc>
          <w:tcPr>
            <w:tcW w:w="220" w:type="dxa"/>
            <w:vAlign w:val="bottom"/>
            <w:tcBorders>
              <w:bottom w:val="single" w:sz="8" w:color="EAEAEA"/>
            </w:tcBorders>
            <w:shd w:val="clear" w:color="auto" w:fill="EAEAEA"/>
          </w:tcPr>
          <w:p>
            <w:pPr>
              <w:spacing w:after="0"/>
              <w:rPr>
                <w:sz w:val="18"/>
                <w:szCs w:val="18"/>
                <w:color w:val="auto"/>
              </w:rPr>
            </w:pPr>
          </w:p>
        </w:tc>
        <w:tc>
          <w:tcPr>
            <w:tcW w:w="8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19,143</w:t>
            </w:r>
          </w:p>
        </w:tc>
        <w:tc>
          <w:tcPr>
            <w:tcW w:w="1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8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18,247</w:t>
            </w:r>
          </w:p>
        </w:tc>
        <w:tc>
          <w:tcPr>
            <w:tcW w:w="1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50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rPr>
              <w:t>102</w:t>
            </w:r>
          </w:p>
        </w:tc>
        <w:tc>
          <w:tcPr>
            <w:tcW w:w="1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50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rPr>
              <w:t>102</w:t>
            </w:r>
          </w:p>
        </w:tc>
        <w:tc>
          <w:tcPr>
            <w:tcW w:w="2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640" w:type="dxa"/>
            <w:vAlign w:val="bottom"/>
            <w:tcBorders>
              <w:bottom w:val="single" w:sz="8" w:color="EAEAEA"/>
            </w:tcBorders>
            <w:shd w:val="clear" w:color="auto" w:fill="EAEAEA"/>
          </w:tcPr>
          <w:p>
            <w:pPr>
              <w:spacing w:after="0"/>
              <w:rPr>
                <w:sz w:val="18"/>
                <w:szCs w:val="18"/>
                <w:color w:val="auto"/>
              </w:rPr>
            </w:pPr>
          </w:p>
        </w:tc>
        <w:tc>
          <w:tcPr>
            <w:tcW w:w="280" w:type="dxa"/>
            <w:vAlign w:val="bottom"/>
            <w:tcBorders>
              <w:bottom w:val="single" w:sz="8" w:color="EAEAEA"/>
            </w:tcBorders>
            <w:shd w:val="clear" w:color="auto" w:fill="EAEAEA"/>
          </w:tcPr>
          <w:p>
            <w:pPr>
              <w:ind w:left="80"/>
              <w:spacing w:after="0" w:line="189" w:lineRule="exact"/>
              <w:rPr>
                <w:sz w:val="20"/>
                <w:szCs w:val="20"/>
                <w:color w:val="auto"/>
              </w:rPr>
            </w:pPr>
            <w:r>
              <w:rPr>
                <w:rFonts w:ascii="Times New Roman" w:cs="Times New Roman" w:eastAsia="Times New Roman" w:hAnsi="Times New Roman"/>
                <w:sz w:val="20"/>
                <w:szCs w:val="20"/>
                <w:color w:val="auto"/>
                <w:w w:val="89"/>
                <w:shd w:val="clear" w:color="auto" w:fill="EAEAEA"/>
              </w:rPr>
              <w:t>43</w:t>
            </w:r>
          </w:p>
        </w:tc>
        <w:tc>
          <w:tcPr>
            <w:tcW w:w="1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520" w:type="dxa"/>
            <w:vAlign w:val="bottom"/>
            <w:tcBorders>
              <w:bottom w:val="single" w:sz="8" w:color="EAEAEA"/>
            </w:tcBorders>
            <w:shd w:val="clear" w:color="auto" w:fill="EAEAEA"/>
          </w:tcPr>
          <w:p>
            <w:pPr>
              <w:spacing w:after="0"/>
              <w:rPr>
                <w:sz w:val="18"/>
                <w:szCs w:val="18"/>
                <w:color w:val="auto"/>
              </w:rPr>
            </w:pPr>
          </w:p>
        </w:tc>
        <w:tc>
          <w:tcPr>
            <w:tcW w:w="28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47</w:t>
            </w:r>
          </w:p>
        </w:tc>
        <w:tc>
          <w:tcPr>
            <w:tcW w:w="60" w:type="dxa"/>
            <w:vAlign w:val="bottom"/>
            <w:tcBorders>
              <w:bottom w:val="single" w:sz="8" w:color="EAEAEA"/>
            </w:tcBorders>
            <w:shd w:val="clear" w:color="auto" w:fill="EAEAEA"/>
          </w:tcPr>
          <w:p>
            <w:pPr>
              <w:spacing w:after="0"/>
              <w:rPr>
                <w:sz w:val="18"/>
                <w:szCs w:val="18"/>
                <w:color w:val="auto"/>
              </w:rPr>
            </w:pPr>
          </w:p>
        </w:tc>
      </w:tr>
      <w:tr>
        <w:trPr>
          <w:trHeight w:val="230"/>
        </w:trPr>
        <w:tc>
          <w:tcPr>
            <w:tcW w:w="3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 three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0"/>
                <w:szCs w:val="20"/>
                <w:color w:val="auto"/>
              </w:rPr>
            </w:pPr>
          </w:p>
        </w:tc>
      </w:tr>
      <w:tr>
        <w:trPr>
          <w:trHeight w:val="210"/>
        </w:trPr>
        <w:tc>
          <w:tcPr>
            <w:tcW w:w="3520" w:type="dxa"/>
            <w:vAlign w:val="bottom"/>
            <w:tcBorders>
              <w:bottom w:val="single" w:sz="8" w:color="EAEAEA"/>
            </w:tcBorders>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Year four</w:t>
            </w:r>
          </w:p>
        </w:tc>
        <w:tc>
          <w:tcPr>
            <w:tcW w:w="220" w:type="dxa"/>
            <w:vAlign w:val="bottom"/>
            <w:tcBorders>
              <w:bottom w:val="single" w:sz="8" w:color="EAEAEA"/>
            </w:tcBorders>
            <w:shd w:val="clear" w:color="auto" w:fill="EAEAEA"/>
          </w:tcPr>
          <w:p>
            <w:pPr>
              <w:spacing w:after="0"/>
              <w:rPr>
                <w:sz w:val="18"/>
                <w:szCs w:val="18"/>
                <w:color w:val="auto"/>
              </w:rPr>
            </w:pPr>
          </w:p>
        </w:tc>
        <w:tc>
          <w:tcPr>
            <w:tcW w:w="8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20,345</w:t>
            </w:r>
          </w:p>
        </w:tc>
        <w:tc>
          <w:tcPr>
            <w:tcW w:w="1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8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19,656</w:t>
            </w:r>
          </w:p>
        </w:tc>
        <w:tc>
          <w:tcPr>
            <w:tcW w:w="1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50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89</w:t>
            </w:r>
          </w:p>
        </w:tc>
        <w:tc>
          <w:tcPr>
            <w:tcW w:w="1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500" w:type="dxa"/>
            <w:vAlign w:val="bottom"/>
            <w:tcBorders>
              <w:bottom w:val="single" w:sz="8" w:color="EAEAEA"/>
            </w:tcBorders>
            <w:shd w:val="clear" w:color="auto" w:fill="EAEAEA"/>
          </w:tcPr>
          <w:p>
            <w:pPr>
              <w:spacing w:after="0"/>
              <w:rPr>
                <w:sz w:val="18"/>
                <w:szCs w:val="18"/>
                <w:color w:val="auto"/>
              </w:rPr>
            </w:pPr>
          </w:p>
        </w:tc>
        <w:tc>
          <w:tcPr>
            <w:tcW w:w="30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91</w:t>
            </w:r>
          </w:p>
        </w:tc>
        <w:tc>
          <w:tcPr>
            <w:tcW w:w="2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640" w:type="dxa"/>
            <w:vAlign w:val="bottom"/>
            <w:tcBorders>
              <w:bottom w:val="single" w:sz="8" w:color="EAEAEA"/>
            </w:tcBorders>
            <w:shd w:val="clear" w:color="auto" w:fill="EAEAEA"/>
          </w:tcPr>
          <w:p>
            <w:pPr>
              <w:spacing w:after="0"/>
              <w:rPr>
                <w:sz w:val="18"/>
                <w:szCs w:val="18"/>
                <w:color w:val="auto"/>
              </w:rPr>
            </w:pPr>
          </w:p>
        </w:tc>
        <w:tc>
          <w:tcPr>
            <w:tcW w:w="280" w:type="dxa"/>
            <w:vAlign w:val="bottom"/>
            <w:tcBorders>
              <w:bottom w:val="single" w:sz="8" w:color="EAEAEA"/>
            </w:tcBorders>
            <w:shd w:val="clear" w:color="auto" w:fill="EAEAEA"/>
          </w:tcPr>
          <w:p>
            <w:pPr>
              <w:ind w:left="80"/>
              <w:spacing w:after="0" w:line="189" w:lineRule="exact"/>
              <w:rPr>
                <w:sz w:val="20"/>
                <w:szCs w:val="20"/>
                <w:color w:val="auto"/>
              </w:rPr>
            </w:pPr>
            <w:r>
              <w:rPr>
                <w:rFonts w:ascii="Times New Roman" w:cs="Times New Roman" w:eastAsia="Times New Roman" w:hAnsi="Times New Roman"/>
                <w:sz w:val="20"/>
                <w:szCs w:val="20"/>
                <w:color w:val="auto"/>
                <w:w w:val="89"/>
                <w:shd w:val="clear" w:color="auto" w:fill="EAEAEA"/>
              </w:rPr>
              <w:t>39</w:t>
            </w:r>
          </w:p>
        </w:tc>
        <w:tc>
          <w:tcPr>
            <w:tcW w:w="10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520" w:type="dxa"/>
            <w:vAlign w:val="bottom"/>
            <w:tcBorders>
              <w:bottom w:val="single" w:sz="8" w:color="EAEAEA"/>
            </w:tcBorders>
            <w:shd w:val="clear" w:color="auto" w:fill="EAEAEA"/>
          </w:tcPr>
          <w:p>
            <w:pPr>
              <w:spacing w:after="0"/>
              <w:rPr>
                <w:sz w:val="18"/>
                <w:szCs w:val="18"/>
                <w:color w:val="auto"/>
              </w:rPr>
            </w:pPr>
          </w:p>
        </w:tc>
        <w:tc>
          <w:tcPr>
            <w:tcW w:w="28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43</w:t>
            </w:r>
          </w:p>
        </w:tc>
        <w:tc>
          <w:tcPr>
            <w:tcW w:w="60" w:type="dxa"/>
            <w:vAlign w:val="bottom"/>
            <w:tcBorders>
              <w:bottom w:val="single" w:sz="8" w:color="EAEAEA"/>
            </w:tcBorders>
            <w:shd w:val="clear" w:color="auto" w:fill="EAEAEA"/>
          </w:tcPr>
          <w:p>
            <w:pPr>
              <w:spacing w:after="0"/>
              <w:rPr>
                <w:sz w:val="18"/>
                <w:szCs w:val="18"/>
                <w:color w:val="auto"/>
              </w:rPr>
            </w:pPr>
          </w:p>
        </w:tc>
      </w:tr>
      <w:tr>
        <w:trPr>
          <w:trHeight w:val="230"/>
        </w:trPr>
        <w:tc>
          <w:tcPr>
            <w:tcW w:w="3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 five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w w:val="89"/>
              </w:rPr>
              <w:t>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0"/>
                <w:szCs w:val="20"/>
                <w:color w:val="auto"/>
              </w:rPr>
            </w:pPr>
          </w:p>
        </w:tc>
      </w:tr>
      <w:tr>
        <w:trPr>
          <w:trHeight w:val="189"/>
        </w:trPr>
        <w:tc>
          <w:tcPr>
            <w:tcW w:w="3520" w:type="dxa"/>
            <w:vAlign w:val="bottom"/>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Next five years</w:t>
            </w:r>
          </w:p>
        </w:tc>
        <w:tc>
          <w:tcPr>
            <w:tcW w:w="220" w:type="dxa"/>
            <w:vAlign w:val="bottom"/>
            <w:shd w:val="clear" w:color="auto" w:fill="EAEAEA"/>
          </w:tcPr>
          <w:p>
            <w:pPr>
              <w:spacing w:after="0"/>
              <w:rPr>
                <w:sz w:val="16"/>
                <w:szCs w:val="16"/>
                <w:color w:val="auto"/>
              </w:rPr>
            </w:pPr>
          </w:p>
        </w:tc>
        <w:tc>
          <w:tcPr>
            <w:tcW w:w="800" w:type="dxa"/>
            <w:vAlign w:val="bottom"/>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112,364</w:t>
            </w: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800" w:type="dxa"/>
            <w:vAlign w:val="bottom"/>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109,082</w:t>
            </w: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500" w:type="dxa"/>
            <w:vAlign w:val="bottom"/>
            <w:shd w:val="clear" w:color="auto" w:fill="EAEAEA"/>
          </w:tcPr>
          <w:p>
            <w:pPr>
              <w:spacing w:after="0"/>
              <w:rPr>
                <w:sz w:val="16"/>
                <w:szCs w:val="16"/>
                <w:color w:val="auto"/>
              </w:rPr>
            </w:pPr>
          </w:p>
        </w:tc>
        <w:tc>
          <w:tcPr>
            <w:tcW w:w="300" w:type="dxa"/>
            <w:vAlign w:val="bottom"/>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shd w:val="clear" w:color="auto" w:fill="EAEAEA"/>
              </w:rPr>
              <w:t>290</w:t>
            </w: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500" w:type="dxa"/>
            <w:vAlign w:val="bottom"/>
            <w:shd w:val="clear" w:color="auto" w:fill="EAEAEA"/>
          </w:tcPr>
          <w:p>
            <w:pPr>
              <w:spacing w:after="0"/>
              <w:rPr>
                <w:sz w:val="16"/>
                <w:szCs w:val="16"/>
                <w:color w:val="auto"/>
              </w:rPr>
            </w:pPr>
          </w:p>
        </w:tc>
        <w:tc>
          <w:tcPr>
            <w:tcW w:w="300" w:type="dxa"/>
            <w:vAlign w:val="bottom"/>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93"/>
                <w:shd w:val="clear" w:color="auto" w:fill="EAEAEA"/>
              </w:rPr>
              <w:t>314</w:t>
            </w:r>
          </w:p>
        </w:tc>
        <w:tc>
          <w:tcPr>
            <w:tcW w:w="2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c>
          <w:tcPr>
            <w:tcW w:w="280" w:type="dxa"/>
            <w:vAlign w:val="bottom"/>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EAEAEA"/>
              </w:rPr>
              <w:t>143</w:t>
            </w: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2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280" w:type="dxa"/>
            <w:vAlign w:val="bottom"/>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rPr>
              <w:t>163</w:t>
            </w:r>
          </w:p>
        </w:tc>
        <w:tc>
          <w:tcPr>
            <w:tcW w:w="60" w:type="dxa"/>
            <w:vAlign w:val="bottom"/>
            <w:shd w:val="clear" w:color="auto" w:fill="EAEAEA"/>
          </w:tcPr>
          <w:p>
            <w:pPr>
              <w:spacing w:after="0"/>
              <w:rPr>
                <w:sz w:val="16"/>
                <w:szCs w:val="16"/>
                <w:color w:val="auto"/>
              </w:rPr>
            </w:pPr>
          </w:p>
        </w:tc>
      </w:tr>
      <w:tr>
        <w:trPr>
          <w:trHeight w:val="41"/>
        </w:trPr>
        <w:tc>
          <w:tcPr>
            <w:tcW w:w="3520" w:type="dxa"/>
            <w:vAlign w:val="bottom"/>
            <w:shd w:val="clear" w:color="auto" w:fill="EAEAEA"/>
          </w:tcPr>
          <w:p>
            <w:pPr>
              <w:spacing w:after="0"/>
              <w:rPr>
                <w:sz w:val="3"/>
                <w:szCs w:val="3"/>
                <w:color w:val="auto"/>
              </w:rPr>
            </w:pPr>
          </w:p>
        </w:tc>
        <w:tc>
          <w:tcPr>
            <w:tcW w:w="220" w:type="dxa"/>
            <w:vAlign w:val="bottom"/>
            <w:shd w:val="clear" w:color="auto" w:fill="EAEAEA"/>
          </w:tcPr>
          <w:p>
            <w:pPr>
              <w:spacing w:after="0"/>
              <w:rPr>
                <w:sz w:val="3"/>
                <w:szCs w:val="3"/>
                <w:color w:val="auto"/>
              </w:rPr>
            </w:pPr>
          </w:p>
        </w:tc>
        <w:tc>
          <w:tcPr>
            <w:tcW w:w="80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220" w:type="dxa"/>
            <w:vAlign w:val="bottom"/>
            <w:shd w:val="clear" w:color="auto" w:fill="EAEAEA"/>
          </w:tcPr>
          <w:p>
            <w:pPr>
              <w:spacing w:after="0"/>
              <w:rPr>
                <w:sz w:val="3"/>
                <w:szCs w:val="3"/>
                <w:color w:val="auto"/>
              </w:rPr>
            </w:pPr>
          </w:p>
        </w:tc>
        <w:tc>
          <w:tcPr>
            <w:tcW w:w="80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220" w:type="dxa"/>
            <w:vAlign w:val="bottom"/>
            <w:shd w:val="clear" w:color="auto" w:fill="EAEAEA"/>
          </w:tcPr>
          <w:p>
            <w:pPr>
              <w:spacing w:after="0"/>
              <w:rPr>
                <w:sz w:val="3"/>
                <w:szCs w:val="3"/>
                <w:color w:val="auto"/>
              </w:rPr>
            </w:pPr>
          </w:p>
        </w:tc>
        <w:tc>
          <w:tcPr>
            <w:tcW w:w="500" w:type="dxa"/>
            <w:vAlign w:val="bottom"/>
            <w:shd w:val="clear" w:color="auto" w:fill="EAEAEA"/>
          </w:tcPr>
          <w:p>
            <w:pPr>
              <w:spacing w:after="0"/>
              <w:rPr>
                <w:sz w:val="3"/>
                <w:szCs w:val="3"/>
                <w:color w:val="auto"/>
              </w:rPr>
            </w:pPr>
          </w:p>
        </w:tc>
        <w:tc>
          <w:tcPr>
            <w:tcW w:w="30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220" w:type="dxa"/>
            <w:vAlign w:val="bottom"/>
            <w:shd w:val="clear" w:color="auto" w:fill="EAEAEA"/>
          </w:tcPr>
          <w:p>
            <w:pPr>
              <w:spacing w:after="0"/>
              <w:rPr>
                <w:sz w:val="3"/>
                <w:szCs w:val="3"/>
                <w:color w:val="auto"/>
              </w:rPr>
            </w:pPr>
          </w:p>
        </w:tc>
        <w:tc>
          <w:tcPr>
            <w:tcW w:w="500" w:type="dxa"/>
            <w:vAlign w:val="bottom"/>
            <w:shd w:val="clear" w:color="auto" w:fill="EAEAEA"/>
          </w:tcPr>
          <w:p>
            <w:pPr>
              <w:spacing w:after="0"/>
              <w:rPr>
                <w:sz w:val="3"/>
                <w:szCs w:val="3"/>
                <w:color w:val="auto"/>
              </w:rPr>
            </w:pPr>
          </w:p>
        </w:tc>
        <w:tc>
          <w:tcPr>
            <w:tcW w:w="300" w:type="dxa"/>
            <w:vAlign w:val="bottom"/>
            <w:shd w:val="clear" w:color="auto" w:fill="EAEAEA"/>
          </w:tcPr>
          <w:p>
            <w:pPr>
              <w:spacing w:after="0"/>
              <w:rPr>
                <w:sz w:val="3"/>
                <w:szCs w:val="3"/>
                <w:color w:val="auto"/>
              </w:rPr>
            </w:pPr>
          </w:p>
        </w:tc>
        <w:tc>
          <w:tcPr>
            <w:tcW w:w="22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640" w:type="dxa"/>
            <w:vAlign w:val="bottom"/>
            <w:shd w:val="clear" w:color="auto" w:fill="EAEAEA"/>
          </w:tcPr>
          <w:p>
            <w:pPr>
              <w:spacing w:after="0"/>
              <w:rPr>
                <w:sz w:val="3"/>
                <w:szCs w:val="3"/>
                <w:color w:val="auto"/>
              </w:rPr>
            </w:pPr>
          </w:p>
        </w:tc>
        <w:tc>
          <w:tcPr>
            <w:tcW w:w="280" w:type="dxa"/>
            <w:vAlign w:val="bottom"/>
            <w:shd w:val="clear" w:color="auto" w:fill="EAEAEA"/>
          </w:tcPr>
          <w:p>
            <w:pPr>
              <w:spacing w:after="0"/>
              <w:rPr>
                <w:sz w:val="3"/>
                <w:szCs w:val="3"/>
                <w:color w:val="auto"/>
              </w:rPr>
            </w:pPr>
          </w:p>
        </w:tc>
        <w:tc>
          <w:tcPr>
            <w:tcW w:w="100" w:type="dxa"/>
            <w:vAlign w:val="bottom"/>
            <w:shd w:val="clear" w:color="auto" w:fill="EAEAEA"/>
          </w:tcPr>
          <w:p>
            <w:pPr>
              <w:spacing w:after="0"/>
              <w:rPr>
                <w:sz w:val="3"/>
                <w:szCs w:val="3"/>
                <w:color w:val="auto"/>
              </w:rPr>
            </w:pPr>
          </w:p>
        </w:tc>
        <w:tc>
          <w:tcPr>
            <w:tcW w:w="120" w:type="dxa"/>
            <w:vAlign w:val="bottom"/>
            <w:shd w:val="clear" w:color="auto" w:fill="EAEAEA"/>
          </w:tcPr>
          <w:p>
            <w:pPr>
              <w:spacing w:after="0"/>
              <w:rPr>
                <w:sz w:val="3"/>
                <w:szCs w:val="3"/>
                <w:color w:val="auto"/>
              </w:rPr>
            </w:pPr>
          </w:p>
        </w:tc>
        <w:tc>
          <w:tcPr>
            <w:tcW w:w="220" w:type="dxa"/>
            <w:vAlign w:val="bottom"/>
            <w:shd w:val="clear" w:color="auto" w:fill="EAEAEA"/>
          </w:tcPr>
          <w:p>
            <w:pPr>
              <w:spacing w:after="0"/>
              <w:rPr>
                <w:sz w:val="3"/>
                <w:szCs w:val="3"/>
                <w:color w:val="auto"/>
              </w:rPr>
            </w:pPr>
          </w:p>
        </w:tc>
        <w:tc>
          <w:tcPr>
            <w:tcW w:w="520" w:type="dxa"/>
            <w:vAlign w:val="bottom"/>
            <w:shd w:val="clear" w:color="auto" w:fill="EAEAEA"/>
          </w:tcPr>
          <w:p>
            <w:pPr>
              <w:spacing w:after="0"/>
              <w:rPr>
                <w:sz w:val="3"/>
                <w:szCs w:val="3"/>
                <w:color w:val="auto"/>
              </w:rPr>
            </w:pPr>
          </w:p>
        </w:tc>
        <w:tc>
          <w:tcPr>
            <w:tcW w:w="280" w:type="dxa"/>
            <w:vAlign w:val="bottom"/>
            <w:shd w:val="clear" w:color="auto" w:fill="EAEAEA"/>
          </w:tcPr>
          <w:p>
            <w:pPr>
              <w:spacing w:after="0"/>
              <w:rPr>
                <w:sz w:val="3"/>
                <w:szCs w:val="3"/>
                <w:color w:val="auto"/>
              </w:rPr>
            </w:pPr>
          </w:p>
        </w:tc>
        <w:tc>
          <w:tcPr>
            <w:tcW w:w="6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-1734820</wp:posOffset>
            </wp:positionV>
            <wp:extent cx="4602480"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49">
                      <a:extLst>
                        <a:ext uri="{28A0092B-C50C-407E-A947-70E740481C1C}"/>
                      </a:extLst>
                    </a:blip>
                    <a:srcRect/>
                    <a:stretch>
                      <a:fillRect/>
                    </a:stretch>
                  </pic:blipFill>
                  <pic:spPr bwMode="auto">
                    <a:xfrm>
                      <a:off x="0" y="0"/>
                      <a:ext cx="4602480" cy="3492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-1608455</wp:posOffset>
            </wp:positionV>
            <wp:extent cx="4602480"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50">
                      <a:extLst>
                        <a:ext uri="{28A0092B-C50C-407E-A947-70E740481C1C}"/>
                      </a:extLst>
                    </a:blip>
                    <a:srcRect/>
                    <a:stretch>
                      <a:fillRect/>
                    </a:stretch>
                  </pic:blipFill>
                  <pic:spPr bwMode="auto">
                    <a:xfrm>
                      <a:off x="0" y="0"/>
                      <a:ext cx="4602480" cy="34925"/>
                    </a:xfrm>
                    <a:prstGeom prst="rect">
                      <a:avLst/>
                    </a:prstGeom>
                    <a:noFill/>
                  </pic:spPr>
                </pic:pic>
              </a:graphicData>
            </a:graphic>
          </wp:anchor>
        </w:drawing>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10800"/>
          </w:cols>
          <w:pgMar w:left="720" w:top="929" w:right="720" w:bottom="187" w:gutter="0" w:footer="0" w:header="0"/>
          <w:type w:val="continuous"/>
        </w:sectPr>
      </w:pPr>
    </w:p>
    <w:bookmarkStart w:id="86" w:name="page87"/>
    <w:bookmarkEnd w:id="86"/>
    <w:p>
      <w:pPr>
        <w:ind w:firstLine="353"/>
        <w:spacing w:after="0" w:line="278" w:lineRule="auto"/>
        <w:rPr>
          <w:sz w:val="20"/>
          <w:szCs w:val="20"/>
          <w:color w:val="auto"/>
        </w:rPr>
      </w:pPr>
      <w:r>
        <w:rPr>
          <w:rFonts w:ascii="Times New Roman" w:cs="Times New Roman" w:eastAsia="Times New Roman" w:hAnsi="Times New Roman"/>
          <w:sz w:val="20"/>
          <w:szCs w:val="20"/>
          <w:color w:val="auto"/>
        </w:rPr>
        <w:t>The components of net periodic benefit cost and other changes in plan assets and benefit obligations recognized in other comprehensive income for the Company’s defined benefit plans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11"/>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Pension Plans</w:t>
            </w:r>
          </w:p>
        </w:tc>
        <w:tc>
          <w:tcPr>
            <w:tcW w:w="80" w:type="dxa"/>
            <w:vAlign w:val="bottom"/>
          </w:tcPr>
          <w:p>
            <w:pPr>
              <w:spacing w:after="0"/>
              <w:rPr>
                <w:sz w:val="17"/>
                <w:szCs w:val="17"/>
                <w:color w:val="auto"/>
              </w:rPr>
            </w:pPr>
          </w:p>
        </w:tc>
        <w:tc>
          <w:tcPr>
            <w:tcW w:w="2400" w:type="dxa"/>
            <w:vAlign w:val="bottom"/>
            <w:gridSpan w:val="15"/>
          </w:tcPr>
          <w:p>
            <w:pPr>
              <w:ind w:left="42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80" w:type="dxa"/>
            <w:vAlign w:val="bottom"/>
          </w:tcPr>
          <w:p>
            <w:pPr>
              <w:spacing w:after="0"/>
              <w:rPr>
                <w:sz w:val="17"/>
                <w:szCs w:val="17"/>
                <w:color w:val="auto"/>
              </w:rPr>
            </w:pPr>
          </w:p>
        </w:tc>
        <w:tc>
          <w:tcPr>
            <w:tcW w:w="1140" w:type="dxa"/>
            <w:vAlign w:val="bottom"/>
            <w:gridSpan w:val="7"/>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SERP</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11"/>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EAEAEA"/>
            </w:tcBorders>
          </w:tcPr>
          <w:p>
            <w:pPr>
              <w:spacing w:after="0"/>
              <w:rPr>
                <w:sz w:val="16"/>
                <w:szCs w:val="16"/>
                <w:color w:val="auto"/>
              </w:rPr>
            </w:pPr>
          </w:p>
        </w:tc>
        <w:tc>
          <w:tcPr>
            <w:tcW w:w="334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60" w:type="dxa"/>
            <w:vAlign w:val="bottom"/>
            <w:tcBorders>
              <w:top w:val="single" w:sz="8" w:color="auto"/>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40" w:type="dxa"/>
            <w:vAlign w:val="bottom"/>
            <w:tcBorders>
              <w:top w:val="single" w:sz="8" w:color="auto"/>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20" w:type="dxa"/>
            <w:vAlign w:val="bottom"/>
            <w:tcBorders>
              <w:bottom w:val="single" w:sz="8" w:color="EAEAEA"/>
            </w:tcBorders>
          </w:tcPr>
          <w:p>
            <w:pPr>
              <w:spacing w:after="0"/>
              <w:rPr>
                <w:sz w:val="16"/>
                <w:szCs w:val="16"/>
                <w:color w:val="auto"/>
              </w:rPr>
            </w:pPr>
          </w:p>
        </w:tc>
        <w:tc>
          <w:tcPr>
            <w:tcW w:w="160" w:type="dxa"/>
            <w:vAlign w:val="bottom"/>
            <w:tcBorders>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60" w:type="dxa"/>
            <w:vAlign w:val="bottom"/>
            <w:tcBorders>
              <w:top w:val="single" w:sz="8" w:color="auto"/>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EAEAEA"/>
            </w:tcBorders>
          </w:tcPr>
          <w:p>
            <w:pPr>
              <w:spacing w:after="0"/>
              <w:rPr>
                <w:sz w:val="16"/>
                <w:szCs w:val="16"/>
                <w:color w:val="auto"/>
              </w:rPr>
            </w:pPr>
          </w:p>
        </w:tc>
        <w:tc>
          <w:tcPr>
            <w:tcW w:w="40" w:type="dxa"/>
            <w:vAlign w:val="bottom"/>
            <w:tcBorders>
              <w:top w:val="single" w:sz="8" w:color="auto"/>
              <w:bottom w:val="single" w:sz="8" w:color="EAEAEA"/>
            </w:tcBorders>
          </w:tcPr>
          <w:p>
            <w:pPr>
              <w:spacing w:after="0"/>
              <w:rPr>
                <w:sz w:val="16"/>
                <w:szCs w:val="16"/>
                <w:color w:val="auto"/>
              </w:rPr>
            </w:pPr>
          </w:p>
        </w:tc>
        <w:tc>
          <w:tcPr>
            <w:tcW w:w="140" w:type="dxa"/>
            <w:vAlign w:val="bottom"/>
            <w:tcBorders>
              <w:top w:val="single" w:sz="8" w:color="auto"/>
              <w:bottom w:val="single" w:sz="8" w:color="EAEAEA"/>
            </w:tcBorders>
          </w:tcPr>
          <w:p>
            <w:pPr>
              <w:spacing w:after="0"/>
              <w:rPr>
                <w:sz w:val="16"/>
                <w:szCs w:val="16"/>
                <w:color w:val="auto"/>
              </w:rPr>
            </w:pPr>
          </w:p>
        </w:tc>
        <w:tc>
          <w:tcPr>
            <w:tcW w:w="120" w:type="dxa"/>
            <w:vAlign w:val="bottom"/>
            <w:tcBorders>
              <w:bottom w:val="single" w:sz="8" w:color="EA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EAEAEA"/>
            </w:tcBorders>
          </w:tcPr>
          <w:p>
            <w:pPr>
              <w:spacing w:after="0"/>
              <w:rPr>
                <w:sz w:val="16"/>
                <w:szCs w:val="16"/>
                <w:color w:val="auto"/>
              </w:rPr>
            </w:pPr>
          </w:p>
        </w:tc>
        <w:tc>
          <w:tcPr>
            <w:tcW w:w="14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Components of net periodic benefit cost</w:t>
            </w:r>
          </w:p>
        </w:tc>
        <w:tc>
          <w:tcPr>
            <w:tcW w:w="8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334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Interest cost</w:t>
            </w:r>
          </w:p>
        </w:tc>
        <w:tc>
          <w:tcPr>
            <w:tcW w:w="8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18,190</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800" w:type="dxa"/>
            <w:vAlign w:val="bottom"/>
            <w:tcBorders>
              <w:bottom w:val="single" w:sz="8" w:color="EAEAEA"/>
            </w:tcBorders>
            <w:gridSpan w:val="4"/>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17,179</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82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18,356</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40</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39</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6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43</w:t>
            </w:r>
          </w:p>
        </w:tc>
        <w:tc>
          <w:tcPr>
            <w:tcW w:w="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 w:type="dxa"/>
            <w:vAlign w:val="bottom"/>
          </w:tcPr>
          <w:p>
            <w:pPr>
              <w:spacing w:after="0"/>
              <w:rPr>
                <w:sz w:val="19"/>
                <w:szCs w:val="19"/>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(27,242 )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(24,885 )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(22,910 )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tcBorders>
              <w:bottom w:val="single" w:sz="8" w:color="EAEAEA"/>
            </w:tcBorders>
            <w:gridSpan w:val="2"/>
            <w:shd w:val="clear" w:color="auto" w:fill="EAEAEA"/>
          </w:tcPr>
          <w:p>
            <w:pPr>
              <w:ind w:left="200"/>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Amortization of actuarial (gain) loss</w:t>
            </w:r>
          </w:p>
        </w:tc>
        <w:tc>
          <w:tcPr>
            <w:tcW w:w="8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54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(9,001</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shd w:val="clear" w:color="auto" w:fill="EAEAEA"/>
          </w:tcPr>
          <w:p>
            <w:pPr>
              <w:spacing w:after="0"/>
              <w:rPr>
                <w:sz w:val="19"/>
                <w:szCs w:val="19"/>
                <w:color w:val="auto"/>
              </w:rPr>
            </w:pPr>
          </w:p>
        </w:tc>
        <w:tc>
          <w:tcPr>
            <w:tcW w:w="46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w w:val="94"/>
                <w:shd w:val="clear" w:color="auto" w:fill="EAEAEA"/>
              </w:rPr>
              <w:t>(2,330</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5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58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28</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58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32</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56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23</w:t>
            </w:r>
          </w:p>
        </w:tc>
        <w:tc>
          <w:tcPr>
            <w:tcW w:w="4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33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vMerge w:val="restart"/>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vMerge w:val="restart"/>
          </w:tcPr>
          <w:p>
            <w:pPr>
              <w:spacing w:after="0"/>
              <w:rPr>
                <w:sz w:val="4"/>
                <w:szCs w:val="4"/>
                <w:color w:val="auto"/>
              </w:rPr>
            </w:pPr>
          </w:p>
        </w:tc>
        <w:tc>
          <w:tcPr>
            <w:tcW w:w="20" w:type="dxa"/>
            <w:vAlign w:val="bottom"/>
            <w:tcBorders>
              <w:top w:val="single" w:sz="8" w:color="auto"/>
            </w:tcBorders>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top w:val="single" w:sz="8" w:color="auto"/>
            </w:tcBorders>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40" w:type="dxa"/>
            <w:vAlign w:val="bottom"/>
            <w:tcBorders>
              <w:top w:val="single" w:sz="8" w:color="auto"/>
            </w:tcBorders>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0" w:type="dxa"/>
            <w:vAlign w:val="bottom"/>
            <w:tcBorders>
              <w:bottom w:val="single" w:sz="8" w:color="EAEAEA"/>
            </w:tcBorders>
          </w:tcPr>
          <w:p>
            <w:pPr>
              <w:spacing w:after="0"/>
              <w:rPr>
                <w:sz w:val="14"/>
                <w:szCs w:val="14"/>
                <w:color w:val="auto"/>
              </w:rPr>
            </w:pPr>
          </w:p>
        </w:tc>
        <w:tc>
          <w:tcPr>
            <w:tcW w:w="3340" w:type="dxa"/>
            <w:vAlign w:val="bottom"/>
            <w:tcBorders>
              <w:bottom w:val="single" w:sz="8" w:color="EAEAEA"/>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highlight w:val="white"/>
                <w:w w:val="93"/>
              </w:rPr>
              <w:t>(15,087</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EAEAEA"/>
            </w:tcBorders>
            <w:vMerge w:val="continue"/>
          </w:tcPr>
          <w:p>
            <w:pPr>
              <w:spacing w:after="0"/>
              <w:rPr>
                <w:sz w:val="14"/>
                <w:szCs w:val="14"/>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60" w:type="dxa"/>
            <w:vAlign w:val="bottom"/>
            <w:tcBorders>
              <w:bottom w:val="single" w:sz="8" w:color="EAEAEA"/>
            </w:tcBorders>
          </w:tcPr>
          <w:p>
            <w:pPr>
              <w:spacing w:after="0"/>
              <w:rPr>
                <w:sz w:val="14"/>
                <w:szCs w:val="14"/>
                <w:color w:val="auto"/>
              </w:rPr>
            </w:pPr>
          </w:p>
        </w:tc>
        <w:tc>
          <w:tcPr>
            <w:tcW w:w="120" w:type="dxa"/>
            <w:vAlign w:val="bottom"/>
            <w:tcBorders>
              <w:bottom w:val="single" w:sz="8" w:color="EAEAEA"/>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highlight w:val="white"/>
                <w:w w:val="90"/>
              </w:rPr>
              <w:t>(6,641</w:t>
            </w:r>
          </w:p>
        </w:tc>
        <w:tc>
          <w:tcPr>
            <w:tcW w:w="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EAEAEA"/>
            </w:tcBorders>
            <w:vMerge w:val="continue"/>
          </w:tcPr>
          <w:p>
            <w:pPr>
              <w:spacing w:after="0"/>
              <w:rPr>
                <w:sz w:val="14"/>
                <w:szCs w:val="14"/>
                <w:color w:val="auto"/>
              </w:rPr>
            </w:pPr>
          </w:p>
        </w:tc>
        <w:tc>
          <w:tcPr>
            <w:tcW w:w="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40" w:type="dxa"/>
            <w:vAlign w:val="bottom"/>
            <w:tcBorders>
              <w:bottom w:val="single" w:sz="8" w:color="EAEAEA"/>
            </w:tcBorders>
          </w:tcPr>
          <w:p>
            <w:pPr>
              <w:spacing w:after="0"/>
              <w:rPr>
                <w:sz w:val="14"/>
                <w:szCs w:val="14"/>
                <w:color w:val="auto"/>
              </w:rPr>
            </w:pPr>
          </w:p>
        </w:tc>
        <w:tc>
          <w:tcPr>
            <w:tcW w:w="120" w:type="dxa"/>
            <w:vAlign w:val="bottom"/>
            <w:tcBorders>
              <w:bottom w:val="single" w:sz="8" w:color="EAEAEA"/>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highlight w:val="white"/>
                <w:w w:val="90"/>
              </w:rPr>
              <w:t>(859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EAEAEA"/>
            </w:tcBorders>
            <w:vMerge w:val="continue"/>
          </w:tcPr>
          <w:p>
            <w:pPr>
              <w:spacing w:after="0"/>
              <w:rPr>
                <w:sz w:val="14"/>
                <w:szCs w:val="14"/>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160" w:type="dxa"/>
            <w:vAlign w:val="bottom"/>
            <w:tcBorders>
              <w:bottom w:val="single" w:sz="8" w:color="EAEAEA"/>
            </w:tcBorders>
            <w:vMerge w:val="continue"/>
          </w:tcPr>
          <w:p>
            <w:pPr>
              <w:spacing w:after="0"/>
              <w:rPr>
                <w:sz w:val="14"/>
                <w:szCs w:val="14"/>
                <w:color w:val="auto"/>
              </w:rPr>
            </w:pPr>
          </w:p>
        </w:tc>
        <w:tc>
          <w:tcPr>
            <w:tcW w:w="120" w:type="dxa"/>
            <w:vAlign w:val="bottom"/>
            <w:tcBorders>
              <w:bottom w:val="single" w:sz="8" w:color="EAEAEA"/>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EAEAEA"/>
            </w:tcBorders>
          </w:tcPr>
          <w:p>
            <w:pPr>
              <w:spacing w:after="0"/>
              <w:rPr>
                <w:sz w:val="14"/>
                <w:szCs w:val="14"/>
                <w:color w:val="auto"/>
              </w:rPr>
            </w:pPr>
          </w:p>
        </w:tc>
        <w:tc>
          <w:tcPr>
            <w:tcW w:w="40" w:type="dxa"/>
            <w:vAlign w:val="bottom"/>
            <w:tcBorders>
              <w:bottom w:val="single" w:sz="8" w:color="EAEAEA"/>
            </w:tcBorders>
          </w:tcPr>
          <w:p>
            <w:pPr>
              <w:spacing w:after="0"/>
              <w:rPr>
                <w:sz w:val="14"/>
                <w:szCs w:val="14"/>
                <w:color w:val="auto"/>
              </w:rPr>
            </w:pPr>
          </w:p>
        </w:tc>
        <w:tc>
          <w:tcPr>
            <w:tcW w:w="160" w:type="dxa"/>
            <w:vAlign w:val="bottom"/>
            <w:tcBorders>
              <w:bottom w:val="single" w:sz="8" w:color="EAEAEA"/>
            </w:tcBorders>
          </w:tcPr>
          <w:p>
            <w:pPr>
              <w:spacing w:after="0"/>
              <w:rPr>
                <w:sz w:val="14"/>
                <w:szCs w:val="14"/>
                <w:color w:val="auto"/>
              </w:rPr>
            </w:pPr>
          </w:p>
        </w:tc>
        <w:tc>
          <w:tcPr>
            <w:tcW w:w="120" w:type="dxa"/>
            <w:vAlign w:val="bottom"/>
            <w:tcBorders>
              <w:bottom w:val="single" w:sz="8" w:color="EAEAEA"/>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EAEAEA"/>
            </w:tcBorders>
          </w:tcPr>
          <w:p>
            <w:pPr>
              <w:spacing w:after="0"/>
              <w:rPr>
                <w:sz w:val="14"/>
                <w:szCs w:val="14"/>
                <w:color w:val="auto"/>
              </w:rPr>
            </w:pPr>
          </w:p>
        </w:tc>
        <w:tc>
          <w:tcPr>
            <w:tcW w:w="40" w:type="dxa"/>
            <w:vAlign w:val="bottom"/>
            <w:tcBorders>
              <w:bottom w:val="single" w:sz="8" w:color="EAEAEA"/>
            </w:tcBorders>
          </w:tcPr>
          <w:p>
            <w:pPr>
              <w:spacing w:after="0"/>
              <w:rPr>
                <w:sz w:val="14"/>
                <w:szCs w:val="14"/>
                <w:color w:val="auto"/>
              </w:rPr>
            </w:pPr>
          </w:p>
        </w:tc>
        <w:tc>
          <w:tcPr>
            <w:tcW w:w="140" w:type="dxa"/>
            <w:vAlign w:val="bottom"/>
            <w:tcBorders>
              <w:bottom w:val="single" w:sz="8" w:color="EAEAEA"/>
            </w:tcBorders>
          </w:tcPr>
          <w:p>
            <w:pPr>
              <w:spacing w:after="0"/>
              <w:rPr>
                <w:sz w:val="14"/>
                <w:szCs w:val="14"/>
                <w:color w:val="auto"/>
              </w:rPr>
            </w:pPr>
          </w:p>
        </w:tc>
        <w:tc>
          <w:tcPr>
            <w:tcW w:w="120" w:type="dxa"/>
            <w:vAlign w:val="bottom"/>
            <w:tcBorders>
              <w:bottom w:val="single" w:sz="8" w:color="EAEAEA"/>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EAEAEA"/>
            </w:tcBorders>
          </w:tcPr>
          <w:p>
            <w:pPr>
              <w:spacing w:after="0"/>
              <w:rPr>
                <w:sz w:val="14"/>
                <w:szCs w:val="14"/>
                <w:color w:val="auto"/>
              </w:rPr>
            </w:pPr>
          </w:p>
        </w:tc>
        <w:tc>
          <w:tcPr>
            <w:tcW w:w="140" w:type="dxa"/>
            <w:vAlign w:val="bottom"/>
            <w:tcBorders>
              <w:bottom w:val="single" w:sz="8" w:color="EAEAEA"/>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EAEAEA"/>
          </w:tcPr>
          <w:p>
            <w:pPr>
              <w:spacing w:after="0"/>
              <w:rPr>
                <w:sz w:val="18"/>
                <w:szCs w:val="18"/>
                <w:color w:val="auto"/>
              </w:rPr>
            </w:pPr>
          </w:p>
        </w:tc>
        <w:tc>
          <w:tcPr>
            <w:tcW w:w="33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5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Other changes in plan assets and benefit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obligations recognized in other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 w:type="dxa"/>
            <w:vAlign w:val="bottom"/>
            <w:tcBorders>
              <w:bottom w:val="single" w:sz="8" w:color="EAEAEA"/>
            </w:tcBorders>
            <w:shd w:val="clear" w:color="auto" w:fill="EAEAEA"/>
          </w:tcPr>
          <w:p>
            <w:pPr>
              <w:spacing w:after="0"/>
              <w:rPr>
                <w:sz w:val="17"/>
                <w:szCs w:val="17"/>
                <w:color w:val="auto"/>
              </w:rPr>
            </w:pPr>
          </w:p>
        </w:tc>
        <w:tc>
          <w:tcPr>
            <w:tcW w:w="3340" w:type="dxa"/>
            <w:vAlign w:val="bottom"/>
            <w:tcBorders>
              <w:bottom w:val="single" w:sz="8" w:color="EAEAEA"/>
            </w:tcBorders>
            <w:shd w:val="clear" w:color="auto" w:fill="EAEAEA"/>
          </w:tcPr>
          <w:p>
            <w:pPr>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Current year actuarial (gain) loss</w:t>
            </w:r>
          </w:p>
        </w:tc>
        <w:tc>
          <w:tcPr>
            <w:tcW w:w="8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w w:val="93"/>
                <w:shd w:val="clear" w:color="auto" w:fill="EAEAEA"/>
              </w:rPr>
              <w:t>(28,049</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800" w:type="dxa"/>
            <w:vAlign w:val="bottom"/>
            <w:tcBorders>
              <w:bottom w:val="single" w:sz="8" w:color="EAEAEA"/>
            </w:tcBorders>
            <w:gridSpan w:val="4"/>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(51,114</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82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(22,583</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2" w:lineRule="exact"/>
              <w:rPr>
                <w:sz w:val="20"/>
                <w:szCs w:val="20"/>
                <w:color w:val="auto"/>
              </w:rPr>
            </w:pPr>
            <w:r>
              <w:rPr>
                <w:rFonts w:ascii="Times New Roman" w:cs="Times New Roman" w:eastAsia="Times New Roman" w:hAnsi="Times New Roman"/>
                <w:sz w:val="18"/>
                <w:szCs w:val="18"/>
                <w:color w:val="auto"/>
                <w:shd w:val="clear" w:color="auto" w:fill="EAEAEA"/>
              </w:rPr>
              <w:t>42</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w w:val="83"/>
                <w:shd w:val="clear" w:color="auto" w:fill="EAEAEA"/>
              </w:rPr>
              <w:t>(32</w:t>
            </w:r>
          </w:p>
        </w:tc>
        <w:tc>
          <w:tcPr>
            <w:tcW w:w="40" w:type="dxa"/>
            <w:vAlign w:val="bottom"/>
            <w:tcBorders>
              <w:bottom w:val="single" w:sz="8" w:color="EAEAEA"/>
            </w:tcBorders>
            <w:gridSpan w:val="2"/>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6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84" w:lineRule="exact"/>
              <w:rPr>
                <w:sz w:val="20"/>
                <w:szCs w:val="20"/>
                <w:color w:val="auto"/>
              </w:rPr>
            </w:pPr>
            <w:r>
              <w:rPr>
                <w:rFonts w:ascii="Times New Roman" w:cs="Times New Roman" w:eastAsia="Times New Roman" w:hAnsi="Times New Roman"/>
                <w:sz w:val="18"/>
                <w:szCs w:val="18"/>
                <w:color w:val="auto"/>
                <w:shd w:val="clear" w:color="auto" w:fill="EAEAEA"/>
              </w:rPr>
              <w:t>91</w:t>
            </w:r>
          </w:p>
        </w:tc>
        <w:tc>
          <w:tcPr>
            <w:tcW w:w="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Recognition of actuarial (gain) loss</w:t>
            </w:r>
          </w:p>
        </w:tc>
        <w:tc>
          <w:tcPr>
            <w:tcW w:w="8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4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7"/>
                <w:szCs w:val="17"/>
                <w:color w:val="auto"/>
                <w:highlight w:val="white"/>
                <w:w w:val="93"/>
              </w:rPr>
              <w:t>9,001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7"/>
                <w:szCs w:val="17"/>
                <w:color w:val="auto"/>
                <w:highlight w:val="white"/>
                <w:w w:val="99"/>
              </w:rPr>
              <w:t>2,330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7"/>
                <w:szCs w:val="17"/>
                <w:color w:val="auto"/>
                <w:highlight w:val="white"/>
                <w:w w:val="88"/>
              </w:rPr>
              <w:t>(28</w:t>
            </w:r>
          </w:p>
        </w:tc>
        <w:tc>
          <w:tcPr>
            <w:tcW w:w="40" w:type="dxa"/>
            <w:vAlign w:val="bottom"/>
            <w:gridSpan w:val="2"/>
            <w:vMerge w:val="continue"/>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7"/>
                <w:szCs w:val="17"/>
                <w:color w:val="auto"/>
                <w:highlight w:val="white"/>
                <w:w w:val="88"/>
              </w:rPr>
              <w:t>(32</w:t>
            </w:r>
          </w:p>
        </w:tc>
        <w:tc>
          <w:tcPr>
            <w:tcW w:w="40" w:type="dxa"/>
            <w:vAlign w:val="bottom"/>
            <w:gridSpan w:val="2"/>
            <w:vMerge w:val="continue"/>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7"/>
                <w:szCs w:val="17"/>
                <w:color w:val="auto"/>
                <w:highlight w:val="white"/>
                <w:w w:val="88"/>
              </w:rPr>
              <w:t>(23</w:t>
            </w:r>
          </w:p>
        </w:tc>
        <w:tc>
          <w:tcPr>
            <w:tcW w:w="40" w:type="dxa"/>
            <w:vAlign w:val="bottom"/>
            <w:vMerge w:val="continue"/>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0" w:type="dxa"/>
            <w:vAlign w:val="bottom"/>
            <w:tcBorders>
              <w:top w:val="single" w:sz="8" w:color="EAEAEA"/>
            </w:tcBorders>
            <w:shd w:val="clear" w:color="auto" w:fill="EAEAEA"/>
          </w:tcPr>
          <w:p>
            <w:pPr>
              <w:spacing w:after="0"/>
              <w:rPr>
                <w:sz w:val="18"/>
                <w:szCs w:val="18"/>
                <w:color w:val="auto"/>
              </w:rPr>
            </w:pPr>
          </w:p>
        </w:tc>
        <w:tc>
          <w:tcPr>
            <w:tcW w:w="33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Total recognized in other comprehensive</w:t>
            </w:r>
          </w:p>
        </w:tc>
        <w:tc>
          <w:tcPr>
            <w:tcW w:w="80" w:type="dxa"/>
            <w:vAlign w:val="bottom"/>
            <w:tcBorders>
              <w:top w:val="single" w:sz="8" w:color="auto"/>
            </w:tcBorders>
            <w:shd w:val="clear" w:color="auto" w:fill="EAEAEA"/>
          </w:tcPr>
          <w:p>
            <w:pPr>
              <w:spacing w:after="0"/>
              <w:rPr>
                <w:sz w:val="18"/>
                <w:szCs w:val="18"/>
                <w:color w:val="auto"/>
              </w:rPr>
            </w:pPr>
          </w:p>
        </w:tc>
        <w:tc>
          <w:tcPr>
            <w:tcW w:w="260" w:type="dxa"/>
            <w:vAlign w:val="bottom"/>
            <w:tcBorders>
              <w:top w:val="single" w:sz="8" w:color="auto"/>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spacing w:after="0"/>
              <w:rPr>
                <w:sz w:val="18"/>
                <w:szCs w:val="18"/>
                <w:color w:val="auto"/>
              </w:rPr>
            </w:pPr>
          </w:p>
        </w:tc>
        <w:tc>
          <w:tcPr>
            <w:tcW w:w="38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4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auto"/>
            </w:tcBorders>
            <w:shd w:val="clear" w:color="auto" w:fill="EAEAEA"/>
          </w:tcPr>
          <w:p>
            <w:pPr>
              <w:spacing w:after="0"/>
              <w:rPr>
                <w:sz w:val="18"/>
                <w:szCs w:val="18"/>
                <w:color w:val="auto"/>
              </w:rPr>
            </w:pPr>
          </w:p>
        </w:tc>
        <w:tc>
          <w:tcPr>
            <w:tcW w:w="340" w:type="dxa"/>
            <w:vAlign w:val="bottom"/>
            <w:tcBorders>
              <w:top w:val="single" w:sz="8" w:color="auto"/>
            </w:tcBorders>
            <w:shd w:val="clear" w:color="auto" w:fill="EAEAEA"/>
          </w:tcPr>
          <w:p>
            <w:pPr>
              <w:spacing w:after="0"/>
              <w:rPr>
                <w:sz w:val="18"/>
                <w:szCs w:val="18"/>
                <w:color w:val="auto"/>
              </w:rPr>
            </w:pPr>
          </w:p>
        </w:tc>
        <w:tc>
          <w:tcPr>
            <w:tcW w:w="60" w:type="dxa"/>
            <w:vAlign w:val="bottom"/>
            <w:tcBorders>
              <w:top w:val="single" w:sz="8" w:color="auto"/>
            </w:tcBorders>
            <w:shd w:val="clear" w:color="auto" w:fill="EAEAEA"/>
          </w:tcPr>
          <w:p>
            <w:pPr>
              <w:spacing w:after="0"/>
              <w:rPr>
                <w:sz w:val="18"/>
                <w:szCs w:val="18"/>
                <w:color w:val="auto"/>
              </w:rPr>
            </w:pPr>
          </w:p>
        </w:tc>
        <w:tc>
          <w:tcPr>
            <w:tcW w:w="38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40" w:type="dxa"/>
            <w:vAlign w:val="bottom"/>
            <w:tcBorders>
              <w:top w:val="single" w:sz="8" w:color="EAEAEA"/>
            </w:tcBorders>
            <w:shd w:val="clear" w:color="auto" w:fill="EAEAEA"/>
          </w:tcPr>
          <w:p>
            <w:pPr>
              <w:spacing w:after="0"/>
              <w:rPr>
                <w:sz w:val="18"/>
                <w:szCs w:val="18"/>
                <w:color w:val="auto"/>
              </w:rPr>
            </w:pPr>
          </w:p>
        </w:tc>
        <w:tc>
          <w:tcPr>
            <w:tcW w:w="14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auto"/>
            </w:tcBorders>
            <w:shd w:val="clear" w:color="auto" w:fill="EAEAEA"/>
          </w:tcPr>
          <w:p>
            <w:pPr>
              <w:spacing w:after="0"/>
              <w:rPr>
                <w:sz w:val="18"/>
                <w:szCs w:val="18"/>
                <w:color w:val="auto"/>
              </w:rPr>
            </w:pPr>
          </w:p>
        </w:tc>
        <w:tc>
          <w:tcPr>
            <w:tcW w:w="500" w:type="dxa"/>
            <w:vAlign w:val="bottom"/>
            <w:tcBorders>
              <w:top w:val="single" w:sz="8" w:color="auto"/>
            </w:tcBorders>
            <w:shd w:val="clear" w:color="auto" w:fill="EAEAEA"/>
          </w:tcPr>
          <w:p>
            <w:pPr>
              <w:spacing w:after="0"/>
              <w:rPr>
                <w:sz w:val="18"/>
                <w:szCs w:val="18"/>
                <w:color w:val="auto"/>
              </w:rPr>
            </w:pPr>
          </w:p>
        </w:tc>
        <w:tc>
          <w:tcPr>
            <w:tcW w:w="3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auto"/>
            </w:tcBorders>
            <w:shd w:val="clear" w:color="auto" w:fill="EAEAEA"/>
          </w:tcPr>
          <w:p>
            <w:pPr>
              <w:spacing w:after="0"/>
              <w:rPr>
                <w:sz w:val="18"/>
                <w:szCs w:val="18"/>
                <w:color w:val="auto"/>
              </w:rPr>
            </w:pPr>
          </w:p>
        </w:tc>
        <w:tc>
          <w:tcPr>
            <w:tcW w:w="580" w:type="dxa"/>
            <w:vAlign w:val="bottom"/>
            <w:tcBorders>
              <w:top w:val="single" w:sz="8" w:color="auto"/>
            </w:tcBorders>
            <w:shd w:val="clear" w:color="auto" w:fill="EAEAEA"/>
          </w:tcPr>
          <w:p>
            <w:pPr>
              <w:spacing w:after="0"/>
              <w:rPr>
                <w:sz w:val="18"/>
                <w:szCs w:val="18"/>
                <w:color w:val="auto"/>
              </w:rPr>
            </w:pPr>
          </w:p>
        </w:tc>
        <w:tc>
          <w:tcPr>
            <w:tcW w:w="2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4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auto"/>
            </w:tcBorders>
            <w:shd w:val="clear" w:color="auto" w:fill="EAEAEA"/>
          </w:tcPr>
          <w:p>
            <w:pPr>
              <w:spacing w:after="0"/>
              <w:rPr>
                <w:sz w:val="18"/>
                <w:szCs w:val="18"/>
                <w:color w:val="auto"/>
              </w:rPr>
            </w:pPr>
          </w:p>
        </w:tc>
        <w:tc>
          <w:tcPr>
            <w:tcW w:w="580" w:type="dxa"/>
            <w:vAlign w:val="bottom"/>
            <w:tcBorders>
              <w:top w:val="single" w:sz="8" w:color="auto"/>
            </w:tcBorders>
            <w:shd w:val="clear" w:color="auto" w:fill="EAEAEA"/>
          </w:tcPr>
          <w:p>
            <w:pPr>
              <w:spacing w:after="0"/>
              <w:rPr>
                <w:sz w:val="18"/>
                <w:szCs w:val="18"/>
                <w:color w:val="auto"/>
              </w:rPr>
            </w:pPr>
          </w:p>
        </w:tc>
        <w:tc>
          <w:tcPr>
            <w:tcW w:w="2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40" w:type="dxa"/>
            <w:vAlign w:val="bottom"/>
            <w:tcBorders>
              <w:top w:val="single" w:sz="8" w:color="EAEAEA"/>
            </w:tcBorders>
            <w:shd w:val="clear" w:color="auto" w:fill="EAEAEA"/>
          </w:tcPr>
          <w:p>
            <w:pPr>
              <w:spacing w:after="0"/>
              <w:rPr>
                <w:sz w:val="18"/>
                <w:szCs w:val="18"/>
                <w:color w:val="auto"/>
              </w:rPr>
            </w:pPr>
          </w:p>
        </w:tc>
        <w:tc>
          <w:tcPr>
            <w:tcW w:w="14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auto"/>
            </w:tcBorders>
            <w:shd w:val="clear" w:color="auto" w:fill="EAEAEA"/>
          </w:tcPr>
          <w:p>
            <w:pPr>
              <w:spacing w:after="0"/>
              <w:rPr>
                <w:sz w:val="18"/>
                <w:szCs w:val="18"/>
                <w:color w:val="auto"/>
              </w:rPr>
            </w:pPr>
          </w:p>
        </w:tc>
        <w:tc>
          <w:tcPr>
            <w:tcW w:w="560" w:type="dxa"/>
            <w:vAlign w:val="bottom"/>
            <w:tcBorders>
              <w:top w:val="single" w:sz="8" w:color="auto"/>
            </w:tcBorders>
            <w:shd w:val="clear" w:color="auto" w:fill="EAEAEA"/>
          </w:tcPr>
          <w:p>
            <w:pPr>
              <w:spacing w:after="0"/>
              <w:rPr>
                <w:sz w:val="18"/>
                <w:szCs w:val="18"/>
                <w:color w:val="auto"/>
              </w:rPr>
            </w:pPr>
          </w:p>
        </w:tc>
        <w:tc>
          <w:tcPr>
            <w:tcW w:w="20" w:type="dxa"/>
            <w:vAlign w:val="bottom"/>
            <w:tcBorders>
              <w:top w:val="single" w:sz="8" w:color="auto"/>
            </w:tcBorders>
            <w:shd w:val="clear" w:color="auto" w:fill="EAEAEA"/>
          </w:tcPr>
          <w:p>
            <w:pPr>
              <w:spacing w:after="0"/>
              <w:rPr>
                <w:sz w:val="18"/>
                <w:szCs w:val="18"/>
                <w:color w:val="auto"/>
              </w:rPr>
            </w:pPr>
          </w:p>
        </w:tc>
        <w:tc>
          <w:tcPr>
            <w:tcW w:w="220" w:type="dxa"/>
            <w:vAlign w:val="bottom"/>
            <w:tcBorders>
              <w:top w:val="single" w:sz="8" w:color="auto"/>
            </w:tcBorders>
            <w:shd w:val="clear" w:color="auto" w:fill="EAEAEA"/>
          </w:tcPr>
          <w:p>
            <w:pPr>
              <w:spacing w:after="0"/>
              <w:rPr>
                <w:sz w:val="18"/>
                <w:szCs w:val="18"/>
                <w:color w:val="auto"/>
              </w:rPr>
            </w:pPr>
          </w:p>
        </w:tc>
        <w:tc>
          <w:tcPr>
            <w:tcW w:w="40" w:type="dxa"/>
            <w:vAlign w:val="bottom"/>
            <w:tcBorders>
              <w:top w:val="single" w:sz="8" w:color="auto"/>
            </w:tcBorders>
            <w:shd w:val="clear" w:color="auto" w:fill="EAEAEA"/>
          </w:tcPr>
          <w:p>
            <w:pPr>
              <w:spacing w:after="0"/>
              <w:rPr>
                <w:sz w:val="18"/>
                <w:szCs w:val="18"/>
                <w:color w:val="auto"/>
              </w:rPr>
            </w:pPr>
          </w:p>
        </w:tc>
        <w:tc>
          <w:tcPr>
            <w:tcW w:w="40" w:type="dxa"/>
            <w:vAlign w:val="bottom"/>
            <w:tcBorders>
              <w:top w:val="single" w:sz="8" w:color="EAEAEA"/>
            </w:tcBorders>
            <w:shd w:val="clear" w:color="auto" w:fill="EAEAEA"/>
          </w:tcPr>
          <w:p>
            <w:pPr>
              <w:spacing w:after="0"/>
              <w:rPr>
                <w:sz w:val="18"/>
                <w:szCs w:val="18"/>
                <w:color w:val="auto"/>
              </w:rPr>
            </w:pPr>
          </w:p>
        </w:tc>
        <w:tc>
          <w:tcPr>
            <w:tcW w:w="140" w:type="dxa"/>
            <w:vAlign w:val="bottom"/>
            <w:tcBorders>
              <w:top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 w:type="dxa"/>
            <w:vAlign w:val="bottom"/>
            <w:tcBorders>
              <w:bottom w:val="single" w:sz="8" w:color="EAEAEA"/>
            </w:tcBorders>
            <w:shd w:val="clear" w:color="auto" w:fill="EAEAEA"/>
          </w:tcPr>
          <w:p>
            <w:pPr>
              <w:spacing w:after="0"/>
              <w:rPr>
                <w:sz w:val="17"/>
                <w:szCs w:val="17"/>
                <w:color w:val="auto"/>
              </w:rPr>
            </w:pPr>
          </w:p>
        </w:tc>
        <w:tc>
          <w:tcPr>
            <w:tcW w:w="3340" w:type="dxa"/>
            <w:vAlign w:val="bottom"/>
            <w:tcBorders>
              <w:bottom w:val="single" w:sz="8" w:color="EAEAEA"/>
            </w:tcBorders>
            <w:shd w:val="clear" w:color="auto" w:fill="EAEAEA"/>
          </w:tcPr>
          <w:p>
            <w:pPr>
              <w:spacing w:after="0" w:line="168" w:lineRule="exact"/>
              <w:rPr>
                <w:sz w:val="20"/>
                <w:szCs w:val="20"/>
                <w:color w:val="auto"/>
              </w:rPr>
            </w:pPr>
            <w:r>
              <w:rPr>
                <w:rFonts w:ascii="Times New Roman" w:cs="Times New Roman" w:eastAsia="Times New Roman" w:hAnsi="Times New Roman"/>
                <w:sz w:val="18"/>
                <w:szCs w:val="18"/>
                <w:color w:val="auto"/>
                <w:shd w:val="clear" w:color="auto" w:fill="EAEAEA"/>
              </w:rPr>
              <w:t>income</w:t>
            </w:r>
          </w:p>
        </w:tc>
        <w:tc>
          <w:tcPr>
            <w:tcW w:w="8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gridSpan w:val="2"/>
            <w:shd w:val="clear" w:color="auto" w:fill="EAEAEA"/>
          </w:tcPr>
          <w:p>
            <w:pPr>
              <w:jc w:val="right"/>
              <w:spacing w:after="0" w:line="168" w:lineRule="exact"/>
              <w:rPr>
                <w:sz w:val="20"/>
                <w:szCs w:val="20"/>
                <w:color w:val="auto"/>
              </w:rPr>
            </w:pPr>
            <w:r>
              <w:rPr>
                <w:rFonts w:ascii="Times New Roman" w:cs="Times New Roman" w:eastAsia="Times New Roman" w:hAnsi="Times New Roman"/>
                <w:sz w:val="18"/>
                <w:szCs w:val="18"/>
                <w:color w:val="auto"/>
                <w:w w:val="93"/>
                <w:shd w:val="clear" w:color="auto" w:fill="EAEAEA"/>
              </w:rPr>
              <w:t>(19,048</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800" w:type="dxa"/>
            <w:vAlign w:val="bottom"/>
            <w:tcBorders>
              <w:bottom w:val="single" w:sz="8" w:color="EAEAEA"/>
            </w:tcBorders>
            <w:gridSpan w:val="4"/>
            <w:shd w:val="clear" w:color="auto" w:fill="EAEAEA"/>
          </w:tcPr>
          <w:p>
            <w:pPr>
              <w:jc w:val="right"/>
              <w:spacing w:after="0" w:line="168" w:lineRule="exact"/>
              <w:rPr>
                <w:sz w:val="20"/>
                <w:szCs w:val="20"/>
                <w:color w:val="auto"/>
              </w:rPr>
            </w:pPr>
            <w:r>
              <w:rPr>
                <w:rFonts w:ascii="Times New Roman" w:cs="Times New Roman" w:eastAsia="Times New Roman" w:hAnsi="Times New Roman"/>
                <w:sz w:val="18"/>
                <w:szCs w:val="18"/>
                <w:color w:val="auto"/>
                <w:shd w:val="clear" w:color="auto" w:fill="EAEAEA"/>
              </w:rPr>
              <w:t>(48,784</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820" w:type="dxa"/>
            <w:vAlign w:val="bottom"/>
            <w:tcBorders>
              <w:bottom w:val="single" w:sz="8" w:color="EAEAEA"/>
            </w:tcBorders>
            <w:gridSpan w:val="2"/>
            <w:shd w:val="clear" w:color="auto" w:fill="EAEAEA"/>
          </w:tcPr>
          <w:p>
            <w:pPr>
              <w:jc w:val="right"/>
              <w:spacing w:after="0" w:line="168" w:lineRule="exact"/>
              <w:rPr>
                <w:sz w:val="20"/>
                <w:szCs w:val="20"/>
                <w:color w:val="auto"/>
              </w:rPr>
            </w:pPr>
            <w:r>
              <w:rPr>
                <w:rFonts w:ascii="Times New Roman" w:cs="Times New Roman" w:eastAsia="Times New Roman" w:hAnsi="Times New Roman"/>
                <w:sz w:val="18"/>
                <w:szCs w:val="18"/>
                <w:color w:val="auto"/>
                <w:shd w:val="clear" w:color="auto" w:fill="EAEAEA"/>
              </w:rPr>
              <w:t>(22,583</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68"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68" w:lineRule="exact"/>
              <w:rPr>
                <w:sz w:val="20"/>
                <w:szCs w:val="20"/>
                <w:color w:val="auto"/>
              </w:rPr>
            </w:pPr>
            <w:r>
              <w:rPr>
                <w:rFonts w:ascii="Times New Roman" w:cs="Times New Roman" w:eastAsia="Times New Roman" w:hAnsi="Times New Roman"/>
                <w:sz w:val="18"/>
                <w:szCs w:val="18"/>
                <w:color w:val="auto"/>
                <w:w w:val="83"/>
                <w:shd w:val="clear" w:color="auto" w:fill="EAEAEA"/>
              </w:rPr>
              <w:t>(64</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56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68" w:lineRule="exact"/>
              <w:rPr>
                <w:sz w:val="20"/>
                <w:szCs w:val="20"/>
                <w:color w:val="auto"/>
              </w:rPr>
            </w:pPr>
            <w:r>
              <w:rPr>
                <w:rFonts w:ascii="Times New Roman" w:cs="Times New Roman" w:eastAsia="Times New Roman" w:hAnsi="Times New Roman"/>
                <w:sz w:val="18"/>
                <w:szCs w:val="18"/>
                <w:color w:val="auto"/>
                <w:shd w:val="clear" w:color="auto" w:fill="EAEAEA"/>
              </w:rPr>
              <w:t>68</w:t>
            </w:r>
          </w:p>
        </w:tc>
        <w:tc>
          <w:tcPr>
            <w:tcW w:w="4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0" w:type="dxa"/>
            <w:vAlign w:val="bottom"/>
            <w:shd w:val="clear" w:color="auto" w:fill="EAEAEA"/>
          </w:tcPr>
          <w:p>
            <w:pPr>
              <w:spacing w:after="0"/>
              <w:rPr>
                <w:sz w:val="19"/>
                <w:szCs w:val="19"/>
                <w:color w:val="auto"/>
              </w:rPr>
            </w:pPr>
          </w:p>
        </w:tc>
        <w:tc>
          <w:tcPr>
            <w:tcW w:w="334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Total recognized in net periodic benefit cost</w:t>
            </w:r>
          </w:p>
        </w:tc>
        <w:tc>
          <w:tcPr>
            <w:tcW w:w="8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0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0" w:type="dxa"/>
            <w:vAlign w:val="bottom"/>
            <w:tcBorders>
              <w:bottom w:val="single" w:sz="8" w:color="EAEAEA"/>
            </w:tcBorders>
            <w:shd w:val="clear" w:color="auto" w:fill="EAEAEA"/>
          </w:tcPr>
          <w:p>
            <w:pPr>
              <w:spacing w:after="0"/>
              <w:rPr>
                <w:sz w:val="17"/>
                <w:szCs w:val="17"/>
                <w:color w:val="auto"/>
              </w:rPr>
            </w:pPr>
          </w:p>
        </w:tc>
        <w:tc>
          <w:tcPr>
            <w:tcW w:w="3340" w:type="dxa"/>
            <w:vAlign w:val="bottom"/>
            <w:tcBorders>
              <w:bottom w:val="single" w:sz="8" w:color="EAEAEA"/>
            </w:tcBorders>
            <w:shd w:val="clear" w:color="auto" w:fill="EAEAEA"/>
          </w:tcPr>
          <w:p>
            <w:pPr>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and other comprehensive income</w:t>
            </w: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2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93"/>
                <w:shd w:val="clear" w:color="auto" w:fill="EAEAEA"/>
              </w:rPr>
              <w:t>(34,135</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00" w:type="dxa"/>
            <w:vAlign w:val="bottom"/>
            <w:tcBorders>
              <w:bottom w:val="single" w:sz="8" w:color="EAEAEA"/>
            </w:tcBorders>
            <w:gridSpan w:val="4"/>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(55,425</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82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(23,442</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82</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6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80" w:type="dxa"/>
            <w:vAlign w:val="bottom"/>
            <w:tcBorders>
              <w:bottom w:val="single" w:sz="8" w:color="EAEAEA"/>
            </w:tcBorders>
            <w:shd w:val="clear" w:color="auto" w:fill="EAEAEA"/>
          </w:tcPr>
          <w:p>
            <w:pPr>
              <w:spacing w:after="0"/>
              <w:rPr>
                <w:sz w:val="17"/>
                <w:szCs w:val="17"/>
                <w:color w:val="auto"/>
              </w:rPr>
            </w:pPr>
          </w:p>
        </w:tc>
        <w:tc>
          <w:tcPr>
            <w:tcW w:w="22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7</w:t>
            </w: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12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56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gridSpan w:val="3"/>
            <w:shd w:val="clear" w:color="auto" w:fill="EAEAEA"/>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w w:val="88"/>
              </w:rPr>
              <w:t>134</w:t>
            </w:r>
          </w:p>
        </w:tc>
        <w:tc>
          <w:tcPr>
            <w:tcW w:w="40" w:type="dxa"/>
            <w:vAlign w:val="bottom"/>
            <w:tcBorders>
              <w:bottom w:val="single" w:sz="8" w:color="EAEAEA"/>
            </w:tcBorders>
            <w:shd w:val="clear" w:color="auto" w:fill="EAEAEA"/>
          </w:tcPr>
          <w:p>
            <w:pPr>
              <w:spacing w:after="0"/>
              <w:rPr>
                <w:sz w:val="17"/>
                <w:szCs w:val="17"/>
                <w:color w:val="auto"/>
              </w:rPr>
            </w:pPr>
          </w:p>
        </w:tc>
        <w:tc>
          <w:tcPr>
            <w:tcW w:w="140" w:type="dxa"/>
            <w:vAlign w:val="bottom"/>
            <w:tcBorders>
              <w:bottom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Weighted average assumptions used to</w:t>
            </w:r>
          </w:p>
        </w:tc>
        <w:tc>
          <w:tcPr>
            <w:tcW w:w="8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0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EAEAEA"/>
              </w:rPr>
              <w:t>determine net periodic benefit cost</w:t>
            </w:r>
          </w:p>
        </w:tc>
        <w:tc>
          <w:tcPr>
            <w:tcW w:w="8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3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8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8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5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 (a)</w:t>
            </w:r>
          </w:p>
        </w:tc>
        <w:tc>
          <w:tcPr>
            <w:tcW w:w="80" w:type="dxa"/>
            <w:vAlign w:val="bottom"/>
          </w:tcPr>
          <w:p>
            <w:pPr>
              <w:spacing w:after="0"/>
              <w:rPr>
                <w:sz w:val="19"/>
                <w:szCs w:val="19"/>
                <w:color w:val="auto"/>
              </w:rPr>
            </w:pPr>
          </w:p>
        </w:tc>
        <w:tc>
          <w:tcPr>
            <w:tcW w:w="104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w w:val="97"/>
              </w:rPr>
              <w:t>5.1%/5.2%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1"/>
        </w:trPr>
        <w:tc>
          <w:tcPr>
            <w:tcW w:w="35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18"/>
                <w:szCs w:val="18"/>
                <w:color w:val="auto"/>
                <w:shd w:val="clear" w:color="auto" w:fill="EAEAEA"/>
              </w:rPr>
              <w:t>Expected long-term rate of return on plan</w:t>
            </w:r>
          </w:p>
        </w:tc>
        <w:tc>
          <w:tcPr>
            <w:tcW w:w="8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0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5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40" w:type="dxa"/>
            <w:vAlign w:val="bottom"/>
            <w:tcBorders>
              <w:bottom w:val="single" w:sz="8" w:color="EAEAEA"/>
            </w:tcBorders>
            <w:gridSpan w:val="2"/>
            <w:shd w:val="clear" w:color="auto" w:fill="EAEAEA"/>
          </w:tcPr>
          <w:p>
            <w:pPr>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assets</w:t>
            </w:r>
          </w:p>
        </w:tc>
        <w:tc>
          <w:tcPr>
            <w:tcW w:w="80" w:type="dxa"/>
            <w:vAlign w:val="bottom"/>
            <w:tcBorders>
              <w:bottom w:val="single" w:sz="8" w:color="EAEAEA"/>
            </w:tcBorders>
            <w:shd w:val="clear" w:color="auto" w:fill="EAEAEA"/>
          </w:tcPr>
          <w:p>
            <w:pPr>
              <w:spacing w:after="0"/>
              <w:rPr>
                <w:sz w:val="16"/>
                <w:szCs w:val="16"/>
                <w:color w:val="auto"/>
              </w:rPr>
            </w:pPr>
          </w:p>
        </w:tc>
        <w:tc>
          <w:tcPr>
            <w:tcW w:w="260" w:type="dxa"/>
            <w:vAlign w:val="bottom"/>
            <w:tcBorders>
              <w:bottom w:val="single" w:sz="8" w:color="EAEAEA"/>
            </w:tcBorders>
            <w:shd w:val="clear" w:color="auto" w:fill="EAEAEA"/>
          </w:tcPr>
          <w:p>
            <w:pPr>
              <w:spacing w:after="0"/>
              <w:rPr>
                <w:sz w:val="16"/>
                <w:szCs w:val="16"/>
                <w:color w:val="auto"/>
              </w:rPr>
            </w:pPr>
          </w:p>
        </w:tc>
        <w:tc>
          <w:tcPr>
            <w:tcW w:w="160" w:type="dxa"/>
            <w:vAlign w:val="bottom"/>
            <w:tcBorders>
              <w:bottom w:val="single" w:sz="8" w:color="EAEAEA"/>
            </w:tcBorders>
            <w:shd w:val="clear" w:color="auto" w:fill="EAEAEA"/>
          </w:tcPr>
          <w:p>
            <w:pPr>
              <w:spacing w:after="0"/>
              <w:rPr>
                <w:sz w:val="16"/>
                <w:szCs w:val="16"/>
                <w:color w:val="auto"/>
              </w:rPr>
            </w:pPr>
          </w:p>
        </w:tc>
        <w:tc>
          <w:tcPr>
            <w:tcW w:w="38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6.75</w:t>
            </w: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200" w:type="dxa"/>
            <w:vAlign w:val="bottom"/>
            <w:tcBorders>
              <w:bottom w:val="single" w:sz="8" w:color="EAEAEA"/>
            </w:tcBorders>
            <w:gridSpan w:val="2"/>
            <w:shd w:val="clear" w:color="auto" w:fill="EAEAEA"/>
          </w:tcPr>
          <w:p>
            <w:pPr>
              <w:jc w:val="right"/>
              <w:ind w:right="60"/>
              <w:spacing w:after="0" w:line="170" w:lineRule="exact"/>
              <w:rPr>
                <w:sz w:val="20"/>
                <w:szCs w:val="20"/>
                <w:color w:val="auto"/>
              </w:rPr>
            </w:pPr>
            <w:r>
              <w:rPr>
                <w:rFonts w:ascii="Times New Roman" w:cs="Times New Roman" w:eastAsia="Times New Roman" w:hAnsi="Times New Roman"/>
                <w:sz w:val="18"/>
                <w:szCs w:val="18"/>
                <w:color w:val="auto"/>
                <w:w w:val="79"/>
                <w:shd w:val="clear" w:color="auto" w:fill="EAEAEA"/>
              </w:rPr>
              <w:t>%</w:t>
            </w:r>
          </w:p>
        </w:tc>
        <w:tc>
          <w:tcPr>
            <w:tcW w:w="1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340" w:type="dxa"/>
            <w:vAlign w:val="bottom"/>
            <w:tcBorders>
              <w:bottom w:val="single" w:sz="8" w:color="EAEAEA"/>
            </w:tcBorders>
            <w:shd w:val="clear" w:color="auto" w:fill="EAEAEA"/>
          </w:tcPr>
          <w:p>
            <w:pPr>
              <w:spacing w:after="0"/>
              <w:rPr>
                <w:sz w:val="16"/>
                <w:szCs w:val="16"/>
                <w:color w:val="auto"/>
              </w:rPr>
            </w:pPr>
          </w:p>
        </w:tc>
        <w:tc>
          <w:tcPr>
            <w:tcW w:w="60" w:type="dxa"/>
            <w:vAlign w:val="bottom"/>
            <w:tcBorders>
              <w:bottom w:val="single" w:sz="8" w:color="EAEAEA"/>
            </w:tcBorders>
            <w:shd w:val="clear" w:color="auto" w:fill="EAEAEA"/>
          </w:tcPr>
          <w:p>
            <w:pPr>
              <w:spacing w:after="0"/>
              <w:rPr>
                <w:sz w:val="16"/>
                <w:szCs w:val="16"/>
                <w:color w:val="auto"/>
              </w:rPr>
            </w:pPr>
          </w:p>
        </w:tc>
        <w:tc>
          <w:tcPr>
            <w:tcW w:w="400" w:type="dxa"/>
            <w:vAlign w:val="bottom"/>
            <w:tcBorders>
              <w:bottom w:val="single" w:sz="8" w:color="EAEAEA"/>
            </w:tcBorders>
            <w:gridSpan w:val="2"/>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shd w:val="clear" w:color="auto" w:fill="EAEAEA"/>
              </w:rPr>
              <w:t>6.75</w:t>
            </w: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180" w:type="dxa"/>
            <w:vAlign w:val="bottom"/>
            <w:tcBorders>
              <w:bottom w:val="single" w:sz="8" w:color="EAEAEA"/>
            </w:tcBorders>
            <w:gridSpan w:val="2"/>
            <w:shd w:val="clear" w:color="auto" w:fill="EAEAEA"/>
          </w:tcPr>
          <w:p>
            <w:pPr>
              <w:jc w:val="right"/>
              <w:ind w:right="60"/>
              <w:spacing w:after="0" w:line="171"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shd w:val="clear" w:color="auto" w:fill="EAEAEA"/>
          </w:tcPr>
          <w:p>
            <w:pPr>
              <w:spacing w:after="0"/>
              <w:rPr>
                <w:sz w:val="16"/>
                <w:szCs w:val="16"/>
                <w:color w:val="auto"/>
              </w:rPr>
            </w:pPr>
          </w:p>
        </w:tc>
        <w:tc>
          <w:tcPr>
            <w:tcW w:w="320" w:type="dxa"/>
            <w:vAlign w:val="bottom"/>
            <w:tcBorders>
              <w:bottom w:val="single" w:sz="8" w:color="EAEAEA"/>
            </w:tcBorders>
            <w:shd w:val="clear" w:color="auto" w:fill="EAEAEA"/>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shd w:val="clear" w:color="auto" w:fill="EAEAEA"/>
              </w:rPr>
              <w:t>6.75</w:t>
            </w: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180" w:type="dxa"/>
            <w:vAlign w:val="bottom"/>
            <w:tcBorders>
              <w:bottom w:val="single" w:sz="8" w:color="EAEAEA"/>
            </w:tcBorders>
            <w:gridSpan w:val="2"/>
            <w:shd w:val="clear" w:color="auto" w:fill="EAEAEA"/>
          </w:tcPr>
          <w:p>
            <w:pPr>
              <w:jc w:val="right"/>
              <w:ind w:right="60"/>
              <w:spacing w:after="0" w:line="171"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1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80" w:type="dxa"/>
            <w:vAlign w:val="bottom"/>
            <w:tcBorders>
              <w:bottom w:val="single" w:sz="8" w:color="EAEAEA"/>
            </w:tcBorders>
            <w:shd w:val="clear" w:color="auto" w:fill="EAEAEA"/>
          </w:tcPr>
          <w:p>
            <w:pPr>
              <w:spacing w:after="0"/>
              <w:rPr>
                <w:sz w:val="16"/>
                <w:szCs w:val="16"/>
                <w:color w:val="auto"/>
              </w:rPr>
            </w:pPr>
          </w:p>
        </w:tc>
        <w:tc>
          <w:tcPr>
            <w:tcW w:w="2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16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80" w:type="dxa"/>
            <w:vAlign w:val="bottom"/>
            <w:tcBorders>
              <w:bottom w:val="single" w:sz="8" w:color="EAEAEA"/>
            </w:tcBorders>
            <w:shd w:val="clear" w:color="auto" w:fill="EAEAEA"/>
          </w:tcPr>
          <w:p>
            <w:pPr>
              <w:spacing w:after="0"/>
              <w:rPr>
                <w:sz w:val="16"/>
                <w:szCs w:val="16"/>
                <w:color w:val="auto"/>
              </w:rPr>
            </w:pPr>
          </w:p>
        </w:tc>
        <w:tc>
          <w:tcPr>
            <w:tcW w:w="2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120" w:type="dxa"/>
            <w:vAlign w:val="bottom"/>
            <w:tcBorders>
              <w:bottom w:val="single" w:sz="8" w:color="EAEAEA"/>
            </w:tcBorders>
            <w:shd w:val="clear" w:color="auto" w:fill="EAEAEA"/>
          </w:tcPr>
          <w:p>
            <w:pPr>
              <w:spacing w:after="0"/>
              <w:rPr>
                <w:sz w:val="16"/>
                <w:szCs w:val="16"/>
                <w:color w:val="auto"/>
              </w:rPr>
            </w:pPr>
          </w:p>
        </w:tc>
        <w:tc>
          <w:tcPr>
            <w:tcW w:w="80" w:type="dxa"/>
            <w:vAlign w:val="bottom"/>
            <w:tcBorders>
              <w:bottom w:val="single" w:sz="8" w:color="EAEAEA"/>
            </w:tcBorders>
            <w:shd w:val="clear" w:color="auto" w:fill="EAEAEA"/>
          </w:tcPr>
          <w:p>
            <w:pPr>
              <w:spacing w:after="0"/>
              <w:rPr>
                <w:sz w:val="16"/>
                <w:szCs w:val="16"/>
                <w:color w:val="auto"/>
              </w:rPr>
            </w:pPr>
          </w:p>
        </w:tc>
        <w:tc>
          <w:tcPr>
            <w:tcW w:w="560" w:type="dxa"/>
            <w:vAlign w:val="bottom"/>
            <w:tcBorders>
              <w:bottom w:val="single" w:sz="8" w:color="EAEAEA"/>
            </w:tcBorders>
            <w:shd w:val="clear" w:color="auto" w:fill="EAEAEA"/>
          </w:tcPr>
          <w:p>
            <w:pPr>
              <w:spacing w:after="0"/>
              <w:rPr>
                <w:sz w:val="16"/>
                <w:szCs w:val="16"/>
                <w:color w:val="auto"/>
              </w:rPr>
            </w:pPr>
          </w:p>
        </w:tc>
        <w:tc>
          <w:tcPr>
            <w:tcW w:w="20" w:type="dxa"/>
            <w:vAlign w:val="bottom"/>
            <w:tcBorders>
              <w:bottom w:val="single" w:sz="8" w:color="EAEAEA"/>
            </w:tcBorders>
            <w:shd w:val="clear" w:color="auto" w:fill="EAEAEA"/>
          </w:tcPr>
          <w:p>
            <w:pPr>
              <w:spacing w:after="0"/>
              <w:rPr>
                <w:sz w:val="16"/>
                <w:szCs w:val="16"/>
                <w:color w:val="auto"/>
              </w:rPr>
            </w:pPr>
          </w:p>
        </w:tc>
        <w:tc>
          <w:tcPr>
            <w:tcW w:w="22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40" w:type="dxa"/>
            <w:vAlign w:val="bottom"/>
            <w:tcBorders>
              <w:bottom w:val="single" w:sz="8" w:color="EAEAEA"/>
            </w:tcBorders>
            <w:shd w:val="clear" w:color="auto" w:fill="EAEAEA"/>
          </w:tcPr>
          <w:p>
            <w:pPr>
              <w:spacing w:after="0"/>
              <w:rPr>
                <w:sz w:val="16"/>
                <w:szCs w:val="16"/>
                <w:color w:val="auto"/>
              </w:rPr>
            </w:pPr>
          </w:p>
        </w:tc>
        <w:tc>
          <w:tcPr>
            <w:tcW w:w="14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Rate of compensation increase</w:t>
            </w:r>
          </w:p>
        </w:tc>
        <w:tc>
          <w:tcPr>
            <w:tcW w:w="80" w:type="dxa"/>
            <w:vAlign w:val="bottom"/>
          </w:tcPr>
          <w:p>
            <w:pPr>
              <w:spacing w:after="0"/>
              <w:rPr>
                <w:sz w:val="17"/>
                <w:szCs w:val="17"/>
                <w:color w:val="auto"/>
              </w:rPr>
            </w:pPr>
          </w:p>
        </w:tc>
        <w:tc>
          <w:tcPr>
            <w:tcW w:w="1040" w:type="dxa"/>
            <w:vAlign w:val="bottom"/>
            <w:gridSpan w:val="7"/>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9"/>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Service-</w:t>
            </w:r>
          </w:p>
        </w:tc>
        <w:tc>
          <w:tcPr>
            <w:tcW w:w="80" w:type="dxa"/>
            <w:vAlign w:val="bottom"/>
          </w:tcPr>
          <w:p>
            <w:pPr>
              <w:spacing w:after="0"/>
              <w:rPr>
                <w:sz w:val="17"/>
                <w:szCs w:val="17"/>
                <w:color w:val="auto"/>
              </w:rPr>
            </w:pPr>
          </w:p>
        </w:tc>
        <w:tc>
          <w:tcPr>
            <w:tcW w:w="1160" w:type="dxa"/>
            <w:vAlign w:val="bottom"/>
            <w:gridSpan w:val="7"/>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Service-</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color w:val="auto"/>
                <w:w w:val="96"/>
              </w:rPr>
              <w:t>based table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9"/>
          </w:tcPr>
          <w:p>
            <w:pPr>
              <w:jc w:val="right"/>
              <w:ind w:right="340"/>
              <w:spacing w:after="0"/>
              <w:rPr>
                <w:sz w:val="20"/>
                <w:szCs w:val="20"/>
                <w:color w:val="auto"/>
              </w:rPr>
            </w:pPr>
            <w:r>
              <w:rPr>
                <w:rFonts w:ascii="Times New Roman" w:cs="Times New Roman" w:eastAsia="Times New Roman" w:hAnsi="Times New Roman"/>
                <w:sz w:val="18"/>
                <w:szCs w:val="18"/>
                <w:color w:val="auto"/>
                <w:w w:val="96"/>
              </w:rPr>
              <w:t>based table</w:t>
            </w:r>
          </w:p>
        </w:tc>
        <w:tc>
          <w:tcPr>
            <w:tcW w:w="80" w:type="dxa"/>
            <w:vAlign w:val="bottom"/>
          </w:tcPr>
          <w:p>
            <w:pPr>
              <w:spacing w:after="0"/>
              <w:rPr>
                <w:sz w:val="20"/>
                <w:szCs w:val="20"/>
                <w:color w:val="auto"/>
              </w:rPr>
            </w:pPr>
          </w:p>
        </w:tc>
        <w:tc>
          <w:tcPr>
            <w:tcW w:w="116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color w:val="auto"/>
                <w:w w:val="99"/>
              </w:rPr>
              <w:t>based table</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-3813175</wp:posOffset>
            </wp:positionV>
            <wp:extent cx="4516120"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51">
                      <a:extLst>
                        <a:ext uri="{28A0092B-C50C-407E-A947-70E740481C1C}"/>
                      </a:extLst>
                    </a:blip>
                    <a:srcRect/>
                    <a:stretch>
                      <a:fillRect/>
                    </a:stretch>
                  </pic:blipFill>
                  <pic:spPr bwMode="auto">
                    <a:xfrm>
                      <a:off x="0" y="0"/>
                      <a:ext cx="4516120" cy="3492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-3677920</wp:posOffset>
            </wp:positionV>
            <wp:extent cx="4516120"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52">
                      <a:extLst>
                        <a:ext uri="{28A0092B-C50C-407E-A947-70E740481C1C}"/>
                      </a:extLst>
                    </a:blip>
                    <a:srcRect/>
                    <a:stretch>
                      <a:fillRect/>
                    </a:stretch>
                  </pic:blipFill>
                  <pic:spPr bwMode="auto">
                    <a:xfrm>
                      <a:off x="0" y="0"/>
                      <a:ext cx="4516120" cy="3492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-1116965</wp:posOffset>
            </wp:positionV>
            <wp:extent cx="451612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53">
                      <a:extLst>
                        <a:ext uri="{28A0092B-C50C-407E-A947-70E740481C1C}"/>
                      </a:extLst>
                    </a:blip>
                    <a:srcRect/>
                    <a:stretch>
                      <a:fillRect/>
                    </a:stretch>
                  </pic:blipFill>
                  <pic:spPr bwMode="auto">
                    <a:xfrm>
                      <a:off x="0" y="0"/>
                      <a:ext cx="4516120" cy="25400"/>
                    </a:xfrm>
                    <a:prstGeom prst="rect">
                      <a:avLst/>
                    </a:prstGeom>
                    <a:noFill/>
                  </pic:spPr>
                </pic:pic>
              </a:graphicData>
            </a:graphic>
          </wp:anchor>
        </w:drawing>
      </w:r>
    </w:p>
    <w:p>
      <w:pPr>
        <w:spacing w:after="0" w:line="176" w:lineRule="exact"/>
        <w:rPr>
          <w:sz w:val="20"/>
          <w:szCs w:val="20"/>
          <w:color w:val="auto"/>
        </w:rPr>
      </w:pPr>
    </w:p>
    <w:p>
      <w:pPr>
        <w:ind w:left="720" w:hanging="360"/>
        <w:spacing w:after="0" w:line="279"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discount rate for benefit cost is 5.7% for both the Kirby Pension Plan and the Higman Pension Plan. The 2024 discount rate for benefit cost is 5.1% for the Kirby Pension Plan and 5.2% for the Higman Pension Plan.</w:t>
      </w:r>
    </w:p>
    <w:p>
      <w:pPr>
        <w:sectPr>
          <w:pgSz w:w="12240" w:h="15840" w:orient="portrait"/>
          <w:cols w:equalWidth="0" w:num="1">
            <w:col w:w="10800"/>
          </w:cols>
          <w:pgMar w:left="720" w:top="929" w:right="7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75</w:t>
      </w:r>
    </w:p>
    <w:p>
      <w:pPr>
        <w:sectPr>
          <w:pgSz w:w="12240" w:h="15840" w:orient="portrait"/>
          <w:cols w:equalWidth="0" w:num="1">
            <w:col w:w="10800"/>
          </w:cols>
          <w:pgMar w:left="720" w:top="929" w:right="720" w:bottom="210" w:gutter="0" w:footer="0" w:header="0"/>
          <w:type w:val="continuous"/>
        </w:sectPr>
      </w:pPr>
    </w:p>
    <w:bookmarkStart w:id="87" w:name="page88"/>
    <w:bookmarkEnd w:id="87"/>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components of net periodic benefit cost and other changes in benefit obligations recognized in other comprehensive income for the Company’s postretirement benefit plan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16"/>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w w:val="98"/>
              </w:rPr>
              <w:t>Other Postretirement Benefits</w:t>
            </w: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16"/>
          </w:tcPr>
          <w:p>
            <w:pPr>
              <w:ind w:left="180"/>
              <w:spacing w:after="0" w:line="179" w:lineRule="exact"/>
              <w:rPr>
                <w:sz w:val="20"/>
                <w:szCs w:val="20"/>
                <w:color w:val="auto"/>
              </w:rPr>
            </w:pPr>
            <w:r>
              <w:rPr>
                <w:rFonts w:ascii="Times New Roman" w:cs="Times New Roman" w:eastAsia="Times New Roman" w:hAnsi="Times New Roman"/>
                <w:sz w:val="16"/>
                <w:szCs w:val="16"/>
                <w:b w:val="1"/>
                <w:bCs w:val="1"/>
                <w:color w:val="auto"/>
              </w:rPr>
              <w:t>Postretirement Welfare Plan</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00" w:type="dxa"/>
            <w:vAlign w:val="bottom"/>
            <w:tcBorders>
              <w:bottom w:val="single" w:sz="8" w:color="EAEAEA"/>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EAEAEA"/>
            </w:tcBorders>
          </w:tcPr>
          <w:p>
            <w:pPr>
              <w:spacing w:after="0"/>
              <w:rPr>
                <w:sz w:val="15"/>
                <w:szCs w:val="15"/>
                <w:color w:val="auto"/>
              </w:rPr>
            </w:pPr>
          </w:p>
        </w:tc>
        <w:tc>
          <w:tcPr>
            <w:tcW w:w="40" w:type="dxa"/>
            <w:vAlign w:val="bottom"/>
            <w:tcBorders>
              <w:top w:val="single" w:sz="8" w:color="auto"/>
              <w:bottom w:val="single" w:sz="8" w:color="EAEAEA"/>
            </w:tcBorders>
          </w:tcPr>
          <w:p>
            <w:pPr>
              <w:spacing w:after="0"/>
              <w:rPr>
                <w:sz w:val="15"/>
                <w:szCs w:val="15"/>
                <w:color w:val="auto"/>
              </w:rPr>
            </w:pPr>
          </w:p>
        </w:tc>
        <w:tc>
          <w:tcPr>
            <w:tcW w:w="160" w:type="dxa"/>
            <w:vAlign w:val="bottom"/>
            <w:tcBorders>
              <w:top w:val="single" w:sz="8" w:color="auto"/>
              <w:bottom w:val="single" w:sz="8" w:color="EAEAEA"/>
            </w:tcBorders>
          </w:tcPr>
          <w:p>
            <w:pPr>
              <w:spacing w:after="0"/>
              <w:rPr>
                <w:sz w:val="15"/>
                <w:szCs w:val="15"/>
                <w:color w:val="auto"/>
              </w:rPr>
            </w:pPr>
          </w:p>
        </w:tc>
        <w:tc>
          <w:tcPr>
            <w:tcW w:w="140" w:type="dxa"/>
            <w:vAlign w:val="bottom"/>
            <w:tcBorders>
              <w:bottom w:val="single" w:sz="8" w:color="EAEAE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EAEAEA"/>
            </w:tcBorders>
          </w:tcPr>
          <w:p>
            <w:pPr>
              <w:spacing w:after="0"/>
              <w:rPr>
                <w:sz w:val="15"/>
                <w:szCs w:val="15"/>
                <w:color w:val="auto"/>
              </w:rPr>
            </w:pPr>
          </w:p>
        </w:tc>
        <w:tc>
          <w:tcPr>
            <w:tcW w:w="40" w:type="dxa"/>
            <w:vAlign w:val="bottom"/>
            <w:tcBorders>
              <w:top w:val="single" w:sz="8" w:color="auto"/>
              <w:bottom w:val="single" w:sz="8" w:color="EAEAEA"/>
            </w:tcBorders>
          </w:tcPr>
          <w:p>
            <w:pPr>
              <w:spacing w:after="0"/>
              <w:rPr>
                <w:sz w:val="15"/>
                <w:szCs w:val="15"/>
                <w:color w:val="auto"/>
              </w:rPr>
            </w:pPr>
          </w:p>
        </w:tc>
        <w:tc>
          <w:tcPr>
            <w:tcW w:w="140" w:type="dxa"/>
            <w:vAlign w:val="bottom"/>
            <w:tcBorders>
              <w:top w:val="single" w:sz="8" w:color="auto"/>
              <w:bottom w:val="single" w:sz="8" w:color="EAEAEA"/>
            </w:tcBorders>
          </w:tcPr>
          <w:p>
            <w:pPr>
              <w:spacing w:after="0"/>
              <w:rPr>
                <w:sz w:val="15"/>
                <w:szCs w:val="15"/>
                <w:color w:val="auto"/>
              </w:rPr>
            </w:pPr>
          </w:p>
        </w:tc>
        <w:tc>
          <w:tcPr>
            <w:tcW w:w="160" w:type="dxa"/>
            <w:vAlign w:val="bottom"/>
            <w:tcBorders>
              <w:bottom w:val="single" w:sz="8" w:color="EAEAEA"/>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20" w:type="dxa"/>
            <w:vAlign w:val="bottom"/>
            <w:tcBorders>
              <w:bottom w:val="single" w:sz="8" w:color="EAEAEA"/>
            </w:tcBorders>
          </w:tcPr>
          <w:p>
            <w:pPr>
              <w:spacing w:after="0"/>
              <w:rPr>
                <w:sz w:val="15"/>
                <w:szCs w:val="15"/>
                <w:color w:val="auto"/>
              </w:rPr>
            </w:pPr>
          </w:p>
        </w:tc>
        <w:tc>
          <w:tcPr>
            <w:tcW w:w="16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b w:val="1"/>
                <w:bCs w:val="1"/>
                <w:color w:val="auto"/>
                <w:shd w:val="clear" w:color="auto" w:fill="EAEAEA"/>
              </w:rPr>
              <w:t>Components of net periodic benefit cost</w:t>
            </w:r>
          </w:p>
        </w:tc>
        <w:tc>
          <w:tcPr>
            <w:tcW w:w="8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Amortization of actuarial gain</w:t>
            </w:r>
          </w:p>
        </w:tc>
        <w:tc>
          <w:tcPr>
            <w:tcW w:w="80" w:type="dxa"/>
            <w:vAlign w:val="bottom"/>
            <w:shd w:val="clear" w:color="auto" w:fill="EAEAEA"/>
          </w:tcPr>
          <w:p>
            <w:pPr>
              <w:spacing w:after="0"/>
              <w:rPr>
                <w:sz w:val="20"/>
                <w:szCs w:val="20"/>
                <w:color w:val="auto"/>
              </w:rPr>
            </w:pPr>
          </w:p>
        </w:tc>
        <w:tc>
          <w:tcPr>
            <w:tcW w:w="68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36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EAEAEA"/>
              </w:rPr>
              <w:t>(264</w:t>
            </w: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740" w:type="dxa"/>
            <w:vAlign w:val="bottom"/>
            <w:shd w:val="clear" w:color="auto" w:fill="EAEAEA"/>
          </w:tcPr>
          <w:p>
            <w:pPr>
              <w:spacing w:after="0"/>
              <w:rPr>
                <w:sz w:val="20"/>
                <w:szCs w:val="20"/>
                <w:color w:val="auto"/>
              </w:rPr>
            </w:pPr>
          </w:p>
        </w:tc>
        <w:tc>
          <w:tcPr>
            <w:tcW w:w="3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87"/>
                <w:shd w:val="clear" w:color="auto" w:fill="EAEAEA"/>
              </w:rPr>
              <w:t>(280</w:t>
            </w:r>
          </w:p>
        </w:tc>
        <w:tc>
          <w:tcPr>
            <w:tcW w:w="40" w:type="dxa"/>
            <w:vAlign w:val="bottom"/>
            <w:gridSpan w:val="2"/>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740" w:type="dxa"/>
            <w:vAlign w:val="bottom"/>
            <w:shd w:val="clear" w:color="auto" w:fill="EAEAEA"/>
          </w:tcPr>
          <w:p>
            <w:pPr>
              <w:spacing w:after="0"/>
              <w:rPr>
                <w:sz w:val="20"/>
                <w:szCs w:val="20"/>
                <w:color w:val="auto"/>
              </w:rPr>
            </w:pPr>
          </w:p>
        </w:tc>
        <w:tc>
          <w:tcPr>
            <w:tcW w:w="3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EAEAEA"/>
              </w:rPr>
              <w:t>(344</w:t>
            </w:r>
          </w:p>
        </w:tc>
        <w:tc>
          <w:tcPr>
            <w:tcW w:w="40" w:type="dxa"/>
            <w:vAlign w:val="bottom"/>
            <w:gridSpan w:val="2"/>
            <w:shd w:val="clear" w:color="auto" w:fill="EAEAEA"/>
          </w:tcPr>
          <w:p>
            <w:pPr>
              <w:spacing w:after="0"/>
              <w:rPr>
                <w:sz w:val="20"/>
                <w:szCs w:val="20"/>
                <w:color w:val="auto"/>
              </w:rPr>
            </w:pPr>
          </w:p>
        </w:tc>
        <w:tc>
          <w:tcPr>
            <w:tcW w:w="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
                <w:szCs w:val="1"/>
                <w:color w:val="auto"/>
                <w:w w:val="4294967281"/>
                <w:shd w:val="clear" w:color="auto" w:fill="EAEAEA"/>
              </w:rPr>
              <w:t>)</w:t>
            </w:r>
          </w:p>
        </w:tc>
        <w:tc>
          <w:tcPr>
            <w:tcW w:w="1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6300" w:type="dxa"/>
            <w:vAlign w:val="bottom"/>
            <w:vMerge w:val="restart"/>
          </w:tcPr>
          <w:p>
            <w:pPr>
              <w:ind w:left="200"/>
              <w:spacing w:after="0" w:line="225" w:lineRule="exact"/>
              <w:rPr>
                <w:sz w:val="20"/>
                <w:szCs w:val="20"/>
                <w:color w:val="auto"/>
              </w:rPr>
            </w:pPr>
            <w:r>
              <w:rPr>
                <w:rFonts w:ascii="Times New Roman" w:cs="Times New Roman" w:eastAsia="Times New Roman" w:hAnsi="Times New Roman"/>
                <w:sz w:val="20"/>
                <w:szCs w:val="20"/>
                <w:color w:val="auto"/>
              </w:rPr>
              <w:t>Net periodic benefit cost</w:t>
            </w:r>
          </w:p>
        </w:tc>
        <w:tc>
          <w:tcPr>
            <w:tcW w:w="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60" w:type="dxa"/>
            <w:vAlign w:val="bottom"/>
            <w:tcBorders>
              <w:top w:val="single" w:sz="8" w:color="auto"/>
            </w:tcBorders>
            <w:vMerge w:val="restart"/>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vMerge w:val="restart"/>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vMerge w:val="restart"/>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EAEAEA"/>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7"/>
              </w:rPr>
              <w:t>(243</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60" w:type="dxa"/>
            <w:vAlign w:val="bottom"/>
            <w:tcBorders>
              <w:bottom w:val="single" w:sz="8" w:color="EAEAEA"/>
            </w:tcBorders>
          </w:tcPr>
          <w:p>
            <w:pPr>
              <w:spacing w:after="0"/>
              <w:rPr>
                <w:sz w:val="15"/>
                <w:szCs w:val="15"/>
                <w:color w:val="auto"/>
              </w:rPr>
            </w:pPr>
          </w:p>
        </w:tc>
        <w:tc>
          <w:tcPr>
            <w:tcW w:w="140" w:type="dxa"/>
            <w:vAlign w:val="bottom"/>
            <w:tcBorders>
              <w:bottom w:val="single" w:sz="8" w:color="EAEAE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87"/>
              </w:rPr>
              <w:t>(260</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140" w:type="dxa"/>
            <w:vAlign w:val="bottom"/>
            <w:tcBorders>
              <w:bottom w:val="single" w:sz="8" w:color="EAEAEA"/>
            </w:tcBorders>
          </w:tcPr>
          <w:p>
            <w:pPr>
              <w:spacing w:after="0"/>
              <w:rPr>
                <w:sz w:val="15"/>
                <w:szCs w:val="15"/>
                <w:color w:val="auto"/>
              </w:rPr>
            </w:pPr>
          </w:p>
        </w:tc>
        <w:tc>
          <w:tcPr>
            <w:tcW w:w="160" w:type="dxa"/>
            <w:vAlign w:val="bottom"/>
            <w:tcBorders>
              <w:bottom w:val="single" w:sz="8" w:color="EAEAEA"/>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20"/>
                <w:szCs w:val="20"/>
                <w:color w:val="auto"/>
                <w:highlight w:val="white"/>
                <w:w w:val="92"/>
              </w:rPr>
              <w:t>(322</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AEAEA"/>
            </w:tcBorders>
            <w:vMerge w:val="continue"/>
          </w:tcPr>
          <w:p>
            <w:pPr>
              <w:spacing w:after="0"/>
              <w:rPr>
                <w:sz w:val="15"/>
                <w:szCs w:val="15"/>
                <w:color w:val="auto"/>
              </w:rPr>
            </w:pPr>
          </w:p>
        </w:tc>
        <w:tc>
          <w:tcPr>
            <w:tcW w:w="2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160" w:type="dxa"/>
            <w:vAlign w:val="bottom"/>
            <w:tcBorders>
              <w:bottom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0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Other changes in benefit obligations recognized in other comprehensive</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Current year actuarial loss (gain)</w:t>
            </w:r>
          </w:p>
        </w:tc>
        <w:tc>
          <w:tcPr>
            <w:tcW w:w="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EAEAEA"/>
            </w:tcBorders>
            <w:gridSpan w:val="2"/>
            <w:shd w:val="clear" w:color="auto" w:fill="EAEAEA"/>
          </w:tcPr>
          <w:p>
            <w:pPr>
              <w:jc w:val="right"/>
              <w:spacing w:after="0" w:line="186" w:lineRule="exact"/>
              <w:rPr>
                <w:sz w:val="20"/>
                <w:szCs w:val="20"/>
                <w:color w:val="auto"/>
              </w:rPr>
            </w:pPr>
            <w:r>
              <w:rPr>
                <w:rFonts w:ascii="Times New Roman" w:cs="Times New Roman" w:eastAsia="Times New Roman" w:hAnsi="Times New Roman"/>
                <w:sz w:val="20"/>
                <w:szCs w:val="20"/>
                <w:color w:val="auto"/>
                <w:w w:val="89"/>
                <w:shd w:val="clear" w:color="auto" w:fill="EAEAEA"/>
              </w:rPr>
              <w:t>24</w:t>
            </w: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w w:val="83"/>
                <w:shd w:val="clear" w:color="auto" w:fill="EAEAEA"/>
              </w:rPr>
              <w:t>(3</w:t>
            </w:r>
          </w:p>
        </w:tc>
        <w:tc>
          <w:tcPr>
            <w:tcW w:w="40" w:type="dxa"/>
            <w:vAlign w:val="bottom"/>
            <w:tcBorders>
              <w:bottom w:val="single" w:sz="8" w:color="EAEAEA"/>
            </w:tcBorders>
            <w:gridSpan w:val="2"/>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4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36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65</w:t>
            </w: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Recognition of actuarial gain</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0" w:type="dxa"/>
            <w:vAlign w:val="bottom"/>
            <w:tcBorders>
              <w:bottom w:val="single" w:sz="8" w:color="EAEAEA"/>
            </w:tcBorders>
          </w:tcPr>
          <w:p>
            <w:pPr>
              <w:spacing w:after="0"/>
              <w:rPr>
                <w:sz w:val="20"/>
                <w:szCs w:val="20"/>
                <w:color w:val="auto"/>
              </w:rPr>
            </w:pPr>
          </w:p>
        </w:tc>
        <w:tc>
          <w:tcPr>
            <w:tcW w:w="40" w:type="dxa"/>
            <w:vAlign w:val="bottom"/>
            <w:tcBorders>
              <w:bottom w:val="single" w:sz="8" w:color="EAEAEA"/>
            </w:tcBorders>
          </w:tcPr>
          <w:p>
            <w:pPr>
              <w:spacing w:after="0"/>
              <w:rPr>
                <w:sz w:val="20"/>
                <w:szCs w:val="20"/>
                <w:color w:val="auto"/>
              </w:rPr>
            </w:pPr>
          </w:p>
        </w:tc>
        <w:tc>
          <w:tcPr>
            <w:tcW w:w="160" w:type="dxa"/>
            <w:vAlign w:val="bottom"/>
            <w:tcBorders>
              <w:bottom w:val="single" w:sz="8" w:color="EAEAEA"/>
            </w:tcBorders>
          </w:tcPr>
          <w:p>
            <w:pPr>
              <w:spacing w:after="0"/>
              <w:rPr>
                <w:sz w:val="20"/>
                <w:szCs w:val="20"/>
                <w:color w:val="auto"/>
              </w:rPr>
            </w:pPr>
          </w:p>
        </w:tc>
        <w:tc>
          <w:tcPr>
            <w:tcW w:w="140" w:type="dxa"/>
            <w:vAlign w:val="bottom"/>
            <w:tcBorders>
              <w:bottom w:val="single" w:sz="8" w:color="EAEAE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40" w:type="dxa"/>
            <w:vAlign w:val="bottom"/>
            <w:tcBorders>
              <w:bottom w:val="single" w:sz="8" w:color="EAEAEA"/>
            </w:tcBorders>
          </w:tcPr>
          <w:p>
            <w:pPr>
              <w:spacing w:after="0"/>
              <w:rPr>
                <w:sz w:val="20"/>
                <w:szCs w:val="20"/>
                <w:color w:val="auto"/>
              </w:rPr>
            </w:pPr>
          </w:p>
        </w:tc>
        <w:tc>
          <w:tcPr>
            <w:tcW w:w="140" w:type="dxa"/>
            <w:vAlign w:val="bottom"/>
            <w:tcBorders>
              <w:bottom w:val="single" w:sz="8" w:color="EAEAEA"/>
            </w:tcBorders>
          </w:tcPr>
          <w:p>
            <w:pPr>
              <w:spacing w:after="0"/>
              <w:rPr>
                <w:sz w:val="20"/>
                <w:szCs w:val="20"/>
                <w:color w:val="auto"/>
              </w:rPr>
            </w:pPr>
          </w:p>
        </w:tc>
        <w:tc>
          <w:tcPr>
            <w:tcW w:w="160" w:type="dxa"/>
            <w:vAlign w:val="bottom"/>
            <w:tcBorders>
              <w:bottom w:val="single" w:sz="8" w:color="EAEAEA"/>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16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00" w:type="dxa"/>
            <w:vAlign w:val="bottom"/>
            <w:tcBorders>
              <w:bottom w:val="single" w:sz="8" w:color="EAEAEA"/>
            </w:tcBorders>
            <w:shd w:val="clear" w:color="auto" w:fill="EAEAEA"/>
          </w:tcPr>
          <w:p>
            <w:pPr>
              <w:ind w:left="200"/>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Total recognized in other comprehensive income</w:t>
            </w:r>
          </w:p>
        </w:tc>
        <w:tc>
          <w:tcPr>
            <w:tcW w:w="80" w:type="dxa"/>
            <w:vAlign w:val="bottom"/>
            <w:tcBorders>
              <w:bottom w:val="single" w:sz="8" w:color="EAEAEA"/>
            </w:tcBorders>
            <w:shd w:val="clear" w:color="auto" w:fill="EAEAEA"/>
          </w:tcPr>
          <w:p>
            <w:pPr>
              <w:spacing w:after="0"/>
              <w:rPr>
                <w:sz w:val="19"/>
                <w:szCs w:val="19"/>
                <w:color w:val="auto"/>
              </w:rPr>
            </w:pPr>
          </w:p>
        </w:tc>
        <w:tc>
          <w:tcPr>
            <w:tcW w:w="680" w:type="dxa"/>
            <w:vAlign w:val="bottom"/>
            <w:tcBorders>
              <w:bottom w:val="single" w:sz="8" w:color="EAEAEA"/>
            </w:tcBorders>
            <w:shd w:val="clear" w:color="auto" w:fill="EAEAEA"/>
          </w:tcPr>
          <w:p>
            <w:pPr>
              <w:spacing w:after="0"/>
              <w:rPr>
                <w:sz w:val="19"/>
                <w:szCs w:val="19"/>
                <w:color w:val="auto"/>
              </w:rPr>
            </w:pPr>
          </w:p>
        </w:tc>
        <w:tc>
          <w:tcPr>
            <w:tcW w:w="6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gridSpan w:val="3"/>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288</w:t>
            </w: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100" w:type="dxa"/>
            <w:vAlign w:val="bottom"/>
            <w:tcBorders>
              <w:bottom w:val="single" w:sz="8" w:color="EAEAEA"/>
            </w:tcBorders>
            <w:shd w:val="clear" w:color="auto" w:fill="EAEAEA"/>
          </w:tcPr>
          <w:p>
            <w:pPr>
              <w:spacing w:after="0"/>
              <w:rPr>
                <w:sz w:val="19"/>
                <w:szCs w:val="19"/>
                <w:color w:val="auto"/>
              </w:rPr>
            </w:pPr>
          </w:p>
        </w:tc>
        <w:tc>
          <w:tcPr>
            <w:tcW w:w="740" w:type="dxa"/>
            <w:vAlign w:val="bottom"/>
            <w:tcBorders>
              <w:bottom w:val="single" w:sz="8" w:color="EAEAEA"/>
            </w:tcBorders>
            <w:shd w:val="clear" w:color="auto" w:fill="EAEAEA"/>
          </w:tcPr>
          <w:p>
            <w:pPr>
              <w:spacing w:after="0"/>
              <w:rPr>
                <w:sz w:val="19"/>
                <w:szCs w:val="19"/>
                <w:color w:val="auto"/>
              </w:rPr>
            </w:pPr>
          </w:p>
        </w:tc>
        <w:tc>
          <w:tcPr>
            <w:tcW w:w="34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277</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740" w:type="dxa"/>
            <w:vAlign w:val="bottom"/>
            <w:tcBorders>
              <w:bottom w:val="single" w:sz="8" w:color="EAEAEA"/>
            </w:tcBorders>
            <w:shd w:val="clear" w:color="auto" w:fill="EAEAEA"/>
          </w:tcPr>
          <w:p>
            <w:pPr>
              <w:spacing w:after="0"/>
              <w:rPr>
                <w:sz w:val="19"/>
                <w:szCs w:val="19"/>
                <w:color w:val="auto"/>
              </w:rPr>
            </w:pPr>
          </w:p>
        </w:tc>
        <w:tc>
          <w:tcPr>
            <w:tcW w:w="360" w:type="dxa"/>
            <w:vAlign w:val="bottom"/>
            <w:tcBorders>
              <w:bottom w:val="single" w:sz="8" w:color="EAEAEA"/>
            </w:tcBorders>
            <w:gridSpan w:val="2"/>
            <w:shd w:val="clear" w:color="auto" w:fill="EAEAEA"/>
          </w:tcPr>
          <w:p>
            <w:pPr>
              <w:jc w:val="right"/>
              <w:spacing w:after="0" w:line="184" w:lineRule="exact"/>
              <w:rPr>
                <w:sz w:val="20"/>
                <w:szCs w:val="20"/>
                <w:color w:val="auto"/>
              </w:rPr>
            </w:pPr>
            <w:r>
              <w:rPr>
                <w:rFonts w:ascii="Times New Roman" w:cs="Times New Roman" w:eastAsia="Times New Roman" w:hAnsi="Times New Roman"/>
                <w:sz w:val="20"/>
                <w:szCs w:val="20"/>
                <w:color w:val="auto"/>
                <w:shd w:val="clear" w:color="auto" w:fill="EAEAEA"/>
              </w:rPr>
              <w:t>409</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Total recognized in net periodic benefit cost and other</w:t>
            </w:r>
          </w:p>
        </w:tc>
        <w:tc>
          <w:tcPr>
            <w:tcW w:w="8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68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8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AEAEA"/>
              </w:rPr>
              <w:t>45</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0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6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9"/>
                <w:szCs w:val="19"/>
                <w:color w:val="auto"/>
                <w:w w:val="73"/>
              </w:rPr>
              <w:t>17</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8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AEAEA"/>
              </w:rPr>
              <w:t>87</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EAEAEA"/>
            </w:tcBorders>
            <w:shd w:val="clear" w:color="auto" w:fill="EAEAEA"/>
          </w:tcPr>
          <w:p>
            <w:pPr>
              <w:ind w:left="16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comprehensive income</w:t>
            </w:r>
          </w:p>
        </w:tc>
        <w:tc>
          <w:tcPr>
            <w:tcW w:w="80" w:type="dxa"/>
            <w:vAlign w:val="bottom"/>
            <w:tcBorders>
              <w:bottom w:val="single" w:sz="8" w:color="EAEAEA"/>
            </w:tcBorders>
            <w:vMerge w:val="continue"/>
            <w:shd w:val="clear" w:color="auto" w:fill="EAEAEA"/>
          </w:tcPr>
          <w:p>
            <w:pPr>
              <w:spacing w:after="0"/>
              <w:rPr>
                <w:sz w:val="20"/>
                <w:szCs w:val="20"/>
                <w:color w:val="auto"/>
              </w:rPr>
            </w:pPr>
          </w:p>
        </w:tc>
        <w:tc>
          <w:tcPr>
            <w:tcW w:w="680" w:type="dxa"/>
            <w:vAlign w:val="bottom"/>
            <w:tcBorders>
              <w:bottom w:val="single" w:sz="8" w:color="EAEAEA"/>
            </w:tcBorders>
            <w:shd w:val="clear" w:color="auto" w:fill="EAEAEA"/>
          </w:tcPr>
          <w:p>
            <w:pPr>
              <w:spacing w:after="0"/>
              <w:rPr>
                <w:sz w:val="20"/>
                <w:szCs w:val="20"/>
                <w:color w:val="auto"/>
              </w:rPr>
            </w:pPr>
          </w:p>
        </w:tc>
        <w:tc>
          <w:tcPr>
            <w:tcW w:w="6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vMerge w:val="continue"/>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vMerge w:val="continue"/>
            <w:shd w:val="clear" w:color="auto" w:fill="EAEAEA"/>
          </w:tcPr>
          <w:p>
            <w:pPr>
              <w:spacing w:after="0"/>
              <w:rPr>
                <w:sz w:val="20"/>
                <w:szCs w:val="20"/>
                <w:color w:val="auto"/>
              </w:rPr>
            </w:pPr>
          </w:p>
        </w:tc>
        <w:tc>
          <w:tcPr>
            <w:tcW w:w="7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vMerge w:val="continue"/>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4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80" w:type="dxa"/>
            <w:vAlign w:val="bottom"/>
            <w:tcBorders>
              <w:bottom w:val="single" w:sz="8" w:color="EAEAEA"/>
            </w:tcBorders>
            <w:vMerge w:val="continue"/>
            <w:shd w:val="clear" w:color="auto" w:fill="EAEAEA"/>
          </w:tcPr>
          <w:p>
            <w:pPr>
              <w:spacing w:after="0"/>
              <w:rPr>
                <w:sz w:val="20"/>
                <w:szCs w:val="20"/>
                <w:color w:val="auto"/>
              </w:rPr>
            </w:pPr>
          </w:p>
        </w:tc>
        <w:tc>
          <w:tcPr>
            <w:tcW w:w="7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vMerge w:val="continue"/>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2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EAEAEA"/>
              </w:rPr>
              <w:t>Weighted average assumptions used to determine net periodic benefit</w:t>
            </w:r>
          </w:p>
        </w:tc>
        <w:tc>
          <w:tcPr>
            <w:tcW w:w="8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b w:val="1"/>
                <w:bCs w:val="1"/>
                <w:color w:val="auto"/>
                <w:shd w:val="clear" w:color="auto" w:fill="EAEAEA"/>
              </w:rPr>
              <w:t>cost</w:t>
            </w:r>
          </w:p>
        </w:tc>
        <w:tc>
          <w:tcPr>
            <w:tcW w:w="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auto"/>
              </w:rPr>
              <w:t>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auto"/>
              </w:rPr>
              <w:t>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Health care cost trend rate:</w:t>
            </w:r>
          </w:p>
        </w:tc>
        <w:tc>
          <w:tcPr>
            <w:tcW w:w="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4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18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2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Initial rate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auto"/>
              </w:rPr>
              <w:t>6.75%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auto"/>
              </w:rPr>
              <w:t>6.25%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auto"/>
              </w:rPr>
              <w:t>6.50%</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EAEAEA"/>
            </w:tcBorders>
            <w:shd w:val="clear" w:color="auto" w:fill="EAEAEA"/>
          </w:tcPr>
          <w:p>
            <w:pPr>
              <w:ind w:left="20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Ultimate rate</w:t>
            </w:r>
          </w:p>
        </w:tc>
        <w:tc>
          <w:tcPr>
            <w:tcW w:w="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spacing w:after="0"/>
              <w:rPr>
                <w:sz w:val="18"/>
                <w:szCs w:val="18"/>
                <w:color w:val="auto"/>
              </w:rPr>
            </w:pPr>
          </w:p>
        </w:tc>
        <w:tc>
          <w:tcPr>
            <w:tcW w:w="60" w:type="dxa"/>
            <w:vAlign w:val="bottom"/>
            <w:tcBorders>
              <w:bottom w:val="single" w:sz="8" w:color="EAEAEA"/>
            </w:tcBorders>
            <w:shd w:val="clear" w:color="auto" w:fill="EAEAEA"/>
          </w:tcPr>
          <w:p>
            <w:pPr>
              <w:spacing w:after="0"/>
              <w:rPr>
                <w:sz w:val="18"/>
                <w:szCs w:val="18"/>
                <w:color w:val="auto"/>
              </w:rPr>
            </w:pPr>
          </w:p>
        </w:tc>
        <w:tc>
          <w:tcPr>
            <w:tcW w:w="360" w:type="dxa"/>
            <w:vAlign w:val="bottom"/>
            <w:tcBorders>
              <w:bottom w:val="single" w:sz="8" w:color="EAEAEA"/>
            </w:tcBorders>
            <w:gridSpan w:val="3"/>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5.0</w:t>
            </w:r>
          </w:p>
        </w:tc>
        <w:tc>
          <w:tcPr>
            <w:tcW w:w="2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EAEAEA"/>
            </w:tcBorders>
            <w:gridSpan w:val="2"/>
            <w:shd w:val="clear" w:color="auto" w:fill="EAEAEA"/>
          </w:tcPr>
          <w:p>
            <w:pPr>
              <w:jc w:val="right"/>
              <w:ind w:right="60"/>
              <w:spacing w:after="0" w:line="189" w:lineRule="exact"/>
              <w:rPr>
                <w:sz w:val="20"/>
                <w:szCs w:val="20"/>
                <w:color w:val="auto"/>
              </w:rPr>
            </w:pPr>
            <w:r>
              <w:rPr>
                <w:rFonts w:ascii="Times New Roman" w:cs="Times New Roman" w:eastAsia="Times New Roman" w:hAnsi="Times New Roman"/>
                <w:sz w:val="20"/>
                <w:szCs w:val="20"/>
                <w:color w:val="auto"/>
                <w:w w:val="71"/>
                <w:shd w:val="clear" w:color="auto" w:fill="EAEAEA"/>
              </w:rPr>
              <w:t>%</w:t>
            </w:r>
          </w:p>
        </w:tc>
        <w:tc>
          <w:tcPr>
            <w:tcW w:w="14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5.0</w:t>
            </w:r>
          </w:p>
        </w:tc>
        <w:tc>
          <w:tcPr>
            <w:tcW w:w="40" w:type="dxa"/>
            <w:vAlign w:val="bottom"/>
            <w:tcBorders>
              <w:bottom w:val="single" w:sz="8" w:color="EAEAEA"/>
            </w:tcBorders>
            <w:gridSpan w:val="2"/>
            <w:shd w:val="clear" w:color="auto" w:fill="EAEAEA"/>
          </w:tcPr>
          <w:p>
            <w:pPr>
              <w:spacing w:after="0"/>
              <w:rPr>
                <w:sz w:val="18"/>
                <w:szCs w:val="18"/>
                <w:color w:val="auto"/>
              </w:rPr>
            </w:pPr>
          </w:p>
        </w:tc>
        <w:tc>
          <w:tcPr>
            <w:tcW w:w="180" w:type="dxa"/>
            <w:vAlign w:val="bottom"/>
            <w:tcBorders>
              <w:bottom w:val="single" w:sz="8" w:color="EAEAEA"/>
            </w:tcBorders>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w w:val="95"/>
                <w:shd w:val="clear" w:color="auto" w:fill="EAEAEA"/>
              </w:rPr>
              <w:t>%</w:t>
            </w:r>
          </w:p>
        </w:tc>
        <w:tc>
          <w:tcPr>
            <w:tcW w:w="16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740" w:type="dxa"/>
            <w:vAlign w:val="bottom"/>
            <w:tcBorders>
              <w:bottom w:val="single" w:sz="8" w:color="EAEAEA"/>
            </w:tcBorders>
            <w:shd w:val="clear" w:color="auto" w:fill="EAEAEA"/>
          </w:tcPr>
          <w:p>
            <w:pPr>
              <w:spacing w:after="0"/>
              <w:rPr>
                <w:sz w:val="18"/>
                <w:szCs w:val="18"/>
                <w:color w:val="auto"/>
              </w:rPr>
            </w:pPr>
          </w:p>
        </w:tc>
        <w:tc>
          <w:tcPr>
            <w:tcW w:w="360" w:type="dxa"/>
            <w:vAlign w:val="bottom"/>
            <w:tcBorders>
              <w:bottom w:val="single" w:sz="8" w:color="EAEAEA"/>
            </w:tcBorders>
            <w:gridSpan w:val="2"/>
            <w:shd w:val="clear" w:color="auto" w:fill="EAEAEA"/>
          </w:tcPr>
          <w:p>
            <w:pPr>
              <w:jc w:val="right"/>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5.0</w:t>
            </w:r>
          </w:p>
        </w:tc>
        <w:tc>
          <w:tcPr>
            <w:tcW w:w="40" w:type="dxa"/>
            <w:vAlign w:val="bottom"/>
            <w:tcBorders>
              <w:bottom w:val="single" w:sz="8" w:color="EAEAEA"/>
            </w:tcBorders>
            <w:gridSpan w:val="2"/>
            <w:shd w:val="clear" w:color="auto" w:fill="EAEAEA"/>
          </w:tcPr>
          <w:p>
            <w:pPr>
              <w:spacing w:after="0"/>
              <w:rPr>
                <w:sz w:val="18"/>
                <w:szCs w:val="18"/>
                <w:color w:val="auto"/>
              </w:rPr>
            </w:pPr>
          </w:p>
        </w:tc>
        <w:tc>
          <w:tcPr>
            <w:tcW w:w="180" w:type="dxa"/>
            <w:vAlign w:val="bottom"/>
            <w:tcBorders>
              <w:bottom w:val="single" w:sz="8" w:color="EAEAEA"/>
            </w:tcBorders>
            <w:gridSpan w:val="2"/>
            <w:shd w:val="clear" w:color="auto" w:fill="EAEAEA"/>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EAEAEA"/>
              </w:rPr>
              <w:t>%</w:t>
            </w:r>
          </w:p>
        </w:tc>
        <w:tc>
          <w:tcPr>
            <w:tcW w:w="0" w:type="dxa"/>
            <w:vAlign w:val="bottom"/>
          </w:tcPr>
          <w:p>
            <w:pPr>
              <w:spacing w:after="0"/>
              <w:rPr>
                <w:sz w:val="1"/>
                <w:szCs w:val="1"/>
                <w:color w:val="auto"/>
              </w:rPr>
            </w:pPr>
          </w:p>
        </w:tc>
      </w:tr>
      <w:tr>
        <w:trPr>
          <w:trHeight w:val="267"/>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Years to ultimate</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2032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-3305175</wp:posOffset>
            </wp:positionV>
            <wp:extent cx="2753360"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54">
                      <a:extLst>
                        <a:ext uri="{28A0092B-C50C-407E-A947-70E740481C1C}"/>
                      </a:extLst>
                    </a:blip>
                    <a:srcRect/>
                    <a:stretch>
                      <a:fillRect/>
                    </a:stretch>
                  </pic:blipFill>
                  <pic:spPr bwMode="auto">
                    <a:xfrm>
                      <a:off x="0" y="0"/>
                      <a:ext cx="2753360" cy="34925"/>
                    </a:xfrm>
                    <a:prstGeom prst="rect">
                      <a:avLst/>
                    </a:prstGeom>
                    <a:noFill/>
                  </pic:spPr>
                </pic:pic>
              </a:graphicData>
            </a:graphic>
          </wp:anchor>
        </w:drawing>
      </w:r>
    </w:p>
    <w:p>
      <w:pPr>
        <w:spacing w:after="0" w:line="12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also contributes to a multiemployer pension plan pursuant to a collective bargaining agreement which covers certain vessel crew members of its coastal operations and expires on April 30, 2027. The Company began participation in the Seafarers Pension Trust (“SPT”) with the Penn Maritime, Inc. acquisition on December 14, 2012.</w:t>
      </w:r>
    </w:p>
    <w:p>
      <w:pPr>
        <w:spacing w:after="0" w:line="145" w:lineRule="exact"/>
        <w:rPr>
          <w:sz w:val="20"/>
          <w:szCs w:val="20"/>
          <w:color w:val="auto"/>
        </w:rPr>
      </w:pPr>
    </w:p>
    <w:p>
      <w:pPr>
        <w:jc w:val="both"/>
        <w:ind w:firstLine="361"/>
        <w:spacing w:after="0" w:line="249" w:lineRule="auto"/>
        <w:rPr>
          <w:sz w:val="20"/>
          <w:szCs w:val="20"/>
          <w:color w:val="auto"/>
        </w:rPr>
      </w:pPr>
      <w:r>
        <w:rPr>
          <w:rFonts w:ascii="Times New Roman" w:cs="Times New Roman" w:eastAsia="Times New Roman" w:hAnsi="Times New Roman"/>
          <w:sz w:val="20"/>
          <w:szCs w:val="20"/>
          <w:color w:val="auto"/>
        </w:rPr>
        <w:t>Contributions to the SPT are made currently based on a per day worked basis and charged to expense as incurred and included in costs of sales and operating expenses in the consolidated statement of earnings. During 2025 and 2024, the Company made contributions of $0.6 million and $0.7 million, respectively, to the SPT. The Company’s contributions to the SPT exceeded 5% of total contributions to the SPT in 2024. Total contributions for 2025 are not yet available. The Company did not pay any material surcharges in 2025 and 2024.</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federal identification number of the SPT is 13-6100329 and the Certified Zone Status is Green at December 31, 2024. The</w:t>
      </w:r>
    </w:p>
    <w:p>
      <w:pPr>
        <w:spacing w:after="0" w:line="37"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Company’s future minimum contribution requirements under the SPT are unavailable because actuarial reports for the 2025 plan year are not yet complete and such contributions are subject to negotiations between the employers and the unions. The SPT was not in endangered or critical status for the 2024 plan year, the latest period for which a report is available, as the funded status was in excess of 100%. Based on the most recent communication from the SPT, there would be no withdrawal liability if the Company chose to withdraw from the SPT although the Company currently has no intention of terminating its participation in the SPT.</w:t>
      </w:r>
    </w:p>
    <w:p>
      <w:pPr>
        <w:spacing w:after="0" w:line="20" w:lineRule="exact"/>
        <w:rPr>
          <w:sz w:val="20"/>
          <w:szCs w:val="20"/>
          <w:color w:val="auto"/>
        </w:rPr>
      </w:pPr>
    </w:p>
    <w:p>
      <w:pPr>
        <w:spacing w:after="0" w:line="14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also contributes to a multiemployer pension plan pursuant to a collective bargaining agreement which covers certain employees of KDS in New Jersey and expires on October 8, 2028. The Company began participation in the Central Pension Fund of the International Union of Operating Engineers and Participating Employers (“CPF”) with the Stewart &amp; Stevenson LLC acquisition on September 13, 2017.</w:t>
      </w:r>
    </w:p>
    <w:p>
      <w:pPr>
        <w:spacing w:after="0" w:line="154" w:lineRule="exact"/>
        <w:rPr>
          <w:sz w:val="20"/>
          <w:szCs w:val="20"/>
          <w:color w:val="auto"/>
        </w:rPr>
      </w:pPr>
    </w:p>
    <w:p>
      <w:pPr>
        <w:jc w:val="both"/>
        <w:ind w:firstLine="367"/>
        <w:spacing w:after="0" w:line="249" w:lineRule="auto"/>
        <w:rPr>
          <w:sz w:val="20"/>
          <w:szCs w:val="20"/>
          <w:color w:val="auto"/>
        </w:rPr>
      </w:pPr>
      <w:r>
        <w:rPr>
          <w:rFonts w:ascii="Times New Roman" w:cs="Times New Roman" w:eastAsia="Times New Roman" w:hAnsi="Times New Roman"/>
          <w:sz w:val="20"/>
          <w:szCs w:val="20"/>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2025 and 2024, the Company made contributions of $0.6 million in each year to the CPF. Total contributions for the 2025 plan year are not yet available. The Company did not pay any material surcharges in 2025 and 2024.</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federal identification number of the CPF is 36-6052390 and the Certified Zone Status is Green at January 31, 2025. The</w:t>
      </w:r>
    </w:p>
    <w:p>
      <w:pPr>
        <w:spacing w:after="0" w:line="37" w:lineRule="exact"/>
        <w:rPr>
          <w:sz w:val="20"/>
          <w:szCs w:val="20"/>
          <w:color w:val="auto"/>
        </w:rPr>
      </w:pPr>
    </w:p>
    <w:p>
      <w:pPr>
        <w:jc w:val="both"/>
        <w:ind w:firstLine="7"/>
        <w:spacing w:after="0"/>
        <w:rPr>
          <w:sz w:val="20"/>
          <w:szCs w:val="20"/>
          <w:color w:val="auto"/>
        </w:rPr>
      </w:pPr>
      <w:r>
        <w:rPr>
          <w:rFonts w:ascii="Times New Roman" w:cs="Times New Roman" w:eastAsia="Times New Roman" w:hAnsi="Times New Roman"/>
          <w:sz w:val="20"/>
          <w:szCs w:val="20"/>
          <w:color w:val="auto"/>
        </w:rPr>
        <w:t>Company’s future minimum contribution requirements under the CPF are unavailable because actuarial reports for the 2025 plan year which ended January 31, 2025, are not yet complete and such contributions are subject to negotiations between the employers and the unions. The CPF was not in endangered or critical status for the 2024 plan year, ending January 31, 2025, the latest period for which a</w:t>
      </w:r>
    </w:p>
    <w:p>
      <w:pPr>
        <w:spacing w:after="0" w:line="20" w:lineRule="exact"/>
        <w:rPr>
          <w:sz w:val="20"/>
          <w:szCs w:val="20"/>
          <w:color w:val="auto"/>
        </w:rPr>
      </w:pPr>
    </w:p>
    <w:p>
      <w:pPr>
        <w:sectPr>
          <w:pgSz w:w="12240" w:h="15840" w:orient="portrait"/>
          <w:cols w:equalWidth="0" w:num="1">
            <w:col w:w="10800"/>
          </w:cols>
          <w:pgMar w:left="720" w:top="929" w:right="720" w:bottom="187" w:gutter="0" w:footer="0" w:header="0"/>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10800"/>
          </w:cols>
          <w:pgMar w:left="720" w:top="929" w:right="720" w:bottom="187" w:gutter="0" w:footer="0" w:header="0"/>
          <w:type w:val="continuous"/>
        </w:sectPr>
      </w:pPr>
    </w:p>
    <w:bookmarkStart w:id="88" w:name="page89"/>
    <w:bookmarkEnd w:id="88"/>
    <w:p>
      <w:pPr>
        <w:ind w:hanging="5"/>
        <w:spacing w:after="0" w:line="278" w:lineRule="auto"/>
        <w:rPr>
          <w:sz w:val="20"/>
          <w:szCs w:val="20"/>
          <w:color w:val="auto"/>
        </w:rPr>
      </w:pPr>
      <w:r>
        <w:rPr>
          <w:rFonts w:ascii="Times New Roman" w:cs="Times New Roman" w:eastAsia="Times New Roman" w:hAnsi="Times New Roman"/>
          <w:sz w:val="20"/>
          <w:szCs w:val="20"/>
          <w:color w:val="auto"/>
        </w:rPr>
        <w:t>report is available, as the funded status was 110%. There would be no withdrawal liability if the Company chose to withdraw from the CPF although the Company currently has no intention of terminating its participation in the CPF.</w:t>
      </w:r>
    </w:p>
    <w:p>
      <w:pPr>
        <w:spacing w:after="0" w:line="127" w:lineRule="exact"/>
        <w:rPr>
          <w:sz w:val="20"/>
          <w:szCs w:val="20"/>
          <w:color w:val="auto"/>
        </w:rPr>
      </w:pPr>
    </w:p>
    <w:p>
      <w:pPr>
        <w:ind w:right="40" w:firstLine="365"/>
        <w:spacing w:after="0" w:line="278" w:lineRule="auto"/>
        <w:rPr>
          <w:sz w:val="20"/>
          <w:szCs w:val="20"/>
          <w:color w:val="auto"/>
        </w:rPr>
      </w:pPr>
      <w:r>
        <w:rPr>
          <w:rFonts w:ascii="Times New Roman" w:cs="Times New Roman" w:eastAsia="Times New Roman" w:hAnsi="Times New Roman"/>
          <w:sz w:val="20"/>
          <w:szCs w:val="20"/>
          <w:color w:val="auto"/>
        </w:rPr>
        <w:t>In addition to the defined benefit plans, the Company sponsors various defined contribution plans for substantially all employe s The aggregate contributions to the plans were $33.3 million, $31.6 million, and $26.9 million in 2025, 2024, and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Other Comprehensive Income (Loss)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Company’s changes in other comprehensive income (loss)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4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780" w:type="dxa"/>
            <w:vAlign w:val="bottom"/>
            <w:gridSpan w:val="11"/>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highlight w:val="white"/>
              </w:rPr>
              <w:t>Year Ended December 31,</w:t>
            </w:r>
          </w:p>
        </w:tc>
        <w:tc>
          <w:tcPr>
            <w:tcW w:w="1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Income Tax</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Income Tax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Income Tax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(Provision)</w:t>
            </w:r>
          </w:p>
        </w:tc>
        <w:tc>
          <w:tcPr>
            <w:tcW w:w="60" w:type="dxa"/>
            <w:vAlign w:val="bottom"/>
          </w:tcPr>
          <w:p>
            <w:pPr>
              <w:spacing w:after="0"/>
              <w:rPr>
                <w:sz w:val="16"/>
                <w:szCs w:val="16"/>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80" w:type="dxa"/>
            <w:vAlign w:val="bottom"/>
          </w:tcPr>
          <w:p>
            <w:pPr>
              <w:spacing w:after="0"/>
              <w:rPr>
                <w:sz w:val="16"/>
                <w:szCs w:val="16"/>
                <w:color w:val="auto"/>
              </w:rPr>
            </w:pPr>
          </w:p>
        </w:tc>
        <w:tc>
          <w:tcPr>
            <w:tcW w:w="8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 w:type="dxa"/>
            <w:vAlign w:val="bottom"/>
          </w:tcPr>
          <w:p>
            <w:pPr>
              <w:spacing w:after="0"/>
              <w:rPr>
                <w:sz w:val="16"/>
                <w:szCs w:val="16"/>
                <w:color w:val="auto"/>
              </w:rPr>
            </w:pPr>
          </w:p>
        </w:tc>
        <w:tc>
          <w:tcPr>
            <w:tcW w:w="86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6"/>
                <w:szCs w:val="16"/>
                <w:color w:val="auto"/>
              </w:rPr>
            </w:pPr>
          </w:p>
        </w:tc>
        <w:tc>
          <w:tcPr>
            <w:tcW w:w="8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(Provision)</w:t>
            </w:r>
          </w:p>
        </w:tc>
        <w:tc>
          <w:tcPr>
            <w:tcW w:w="80" w:type="dxa"/>
            <w:vAlign w:val="bottom"/>
          </w:tcPr>
          <w:p>
            <w:pPr>
              <w:spacing w:after="0"/>
              <w:rPr>
                <w:sz w:val="16"/>
                <w:szCs w:val="16"/>
                <w:color w:val="auto"/>
              </w:rPr>
            </w:pPr>
          </w:p>
        </w:tc>
        <w:tc>
          <w:tcPr>
            <w:tcW w:w="7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7"/>
                <w:szCs w:val="17"/>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6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7"/>
                <w:szCs w:val="17"/>
                <w:color w:val="auto"/>
              </w:rPr>
            </w:pPr>
          </w:p>
        </w:tc>
        <w:tc>
          <w:tcPr>
            <w:tcW w:w="84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7"/>
                <w:szCs w:val="17"/>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60" w:type="dxa"/>
            <w:vAlign w:val="bottom"/>
          </w:tcPr>
          <w:p>
            <w:pPr>
              <w:spacing w:after="0"/>
              <w:rPr>
                <w:sz w:val="17"/>
                <w:szCs w:val="17"/>
                <w:color w:val="auto"/>
              </w:rPr>
            </w:pPr>
          </w:p>
        </w:tc>
        <w:tc>
          <w:tcPr>
            <w:tcW w:w="86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7"/>
                <w:szCs w:val="17"/>
                <w:color w:val="auto"/>
              </w:rPr>
            </w:pPr>
          </w:p>
        </w:tc>
        <w:tc>
          <w:tcPr>
            <w:tcW w:w="8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Pr>
          <w:p>
            <w:pPr>
              <w:spacing w:after="0"/>
              <w:rPr>
                <w:sz w:val="17"/>
                <w:szCs w:val="17"/>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80" w:type="dxa"/>
            <w:vAlign w:val="bottom"/>
          </w:tcPr>
          <w:p>
            <w:pPr>
              <w:spacing w:after="0"/>
              <w:rPr>
                <w:sz w:val="17"/>
                <w:szCs w:val="17"/>
                <w:color w:val="auto"/>
              </w:rPr>
            </w:pPr>
          </w:p>
        </w:tc>
        <w:tc>
          <w:tcPr>
            <w:tcW w:w="7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24"/>
        </w:trPr>
        <w:tc>
          <w:tcPr>
            <w:tcW w:w="2340" w:type="dxa"/>
            <w:vAlign w:val="bottom"/>
            <w:tcBorders>
              <w:top w:val="single" w:sz="8" w:color="EAEAEA"/>
            </w:tcBorders>
            <w:gridSpan w:val="2"/>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Pension and postretirement</w:t>
            </w:r>
          </w:p>
        </w:tc>
        <w:tc>
          <w:tcPr>
            <w:tcW w:w="80" w:type="dxa"/>
            <w:vAlign w:val="bottom"/>
            <w:tcBorders>
              <w:top w:val="single" w:sz="8" w:color="auto"/>
            </w:tcBorders>
            <w:shd w:val="clear" w:color="auto" w:fill="EAEAEA"/>
          </w:tcPr>
          <w:p>
            <w:pPr>
              <w:spacing w:after="0"/>
              <w:rPr>
                <w:sz w:val="19"/>
                <w:szCs w:val="19"/>
                <w:color w:val="auto"/>
              </w:rPr>
            </w:pPr>
          </w:p>
        </w:tc>
        <w:tc>
          <w:tcPr>
            <w:tcW w:w="64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auto"/>
            </w:tcBorders>
            <w:shd w:val="clear" w:color="auto" w:fill="EAEAEA"/>
          </w:tcPr>
          <w:p>
            <w:pPr>
              <w:spacing w:after="0"/>
              <w:rPr>
                <w:sz w:val="19"/>
                <w:szCs w:val="19"/>
                <w:color w:val="auto"/>
              </w:rPr>
            </w:pPr>
          </w:p>
        </w:tc>
        <w:tc>
          <w:tcPr>
            <w:tcW w:w="70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EAEAEA"/>
            </w:tcBorders>
            <w:shd w:val="clear" w:color="auto" w:fill="EAEAEA"/>
          </w:tcPr>
          <w:p>
            <w:pPr>
              <w:spacing w:after="0"/>
              <w:rPr>
                <w:sz w:val="19"/>
                <w:szCs w:val="19"/>
                <w:color w:val="auto"/>
              </w:rPr>
            </w:pPr>
          </w:p>
        </w:tc>
        <w:tc>
          <w:tcPr>
            <w:tcW w:w="60" w:type="dxa"/>
            <w:vAlign w:val="bottom"/>
            <w:tcBorders>
              <w:top w:val="single" w:sz="8" w:color="auto"/>
            </w:tcBorders>
            <w:shd w:val="clear" w:color="auto" w:fill="EAEAEA"/>
          </w:tcPr>
          <w:p>
            <w:pPr>
              <w:spacing w:after="0"/>
              <w:rPr>
                <w:sz w:val="19"/>
                <w:szCs w:val="19"/>
                <w:color w:val="auto"/>
              </w:rPr>
            </w:pPr>
          </w:p>
        </w:tc>
        <w:tc>
          <w:tcPr>
            <w:tcW w:w="64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auto"/>
            </w:tcBorders>
            <w:shd w:val="clear" w:color="auto" w:fill="EAEAEA"/>
          </w:tcPr>
          <w:p>
            <w:pPr>
              <w:spacing w:after="0"/>
              <w:rPr>
                <w:sz w:val="19"/>
                <w:szCs w:val="19"/>
                <w:color w:val="auto"/>
              </w:rPr>
            </w:pPr>
          </w:p>
        </w:tc>
        <w:tc>
          <w:tcPr>
            <w:tcW w:w="360" w:type="dxa"/>
            <w:vAlign w:val="bottom"/>
            <w:tcBorders>
              <w:top w:val="single" w:sz="8" w:color="auto"/>
            </w:tcBorders>
            <w:shd w:val="clear" w:color="auto" w:fill="EAEAEA"/>
          </w:tcPr>
          <w:p>
            <w:pPr>
              <w:spacing w:after="0"/>
              <w:rPr>
                <w:sz w:val="19"/>
                <w:szCs w:val="19"/>
                <w:color w:val="auto"/>
              </w:rPr>
            </w:pPr>
          </w:p>
        </w:tc>
        <w:tc>
          <w:tcPr>
            <w:tcW w:w="20" w:type="dxa"/>
            <w:vAlign w:val="bottom"/>
            <w:tcBorders>
              <w:top w:val="single" w:sz="8" w:color="auto"/>
            </w:tcBorders>
            <w:shd w:val="clear" w:color="auto" w:fill="EAEAEA"/>
          </w:tcPr>
          <w:p>
            <w:pPr>
              <w:spacing w:after="0"/>
              <w:rPr>
                <w:sz w:val="19"/>
                <w:szCs w:val="19"/>
                <w:color w:val="auto"/>
              </w:rPr>
            </w:pPr>
          </w:p>
        </w:tc>
        <w:tc>
          <w:tcPr>
            <w:tcW w:w="260" w:type="dxa"/>
            <w:vAlign w:val="bottom"/>
            <w:tcBorders>
              <w:top w:val="single" w:sz="8" w:color="auto"/>
            </w:tcBorders>
            <w:shd w:val="clear" w:color="auto" w:fill="EAEAEA"/>
          </w:tcPr>
          <w:p>
            <w:pPr>
              <w:spacing w:after="0"/>
              <w:rPr>
                <w:sz w:val="19"/>
                <w:szCs w:val="19"/>
                <w:color w:val="auto"/>
              </w:rPr>
            </w:pPr>
          </w:p>
        </w:tc>
        <w:tc>
          <w:tcPr>
            <w:tcW w:w="20" w:type="dxa"/>
            <w:vAlign w:val="bottom"/>
            <w:tcBorders>
              <w:top w:val="single" w:sz="8" w:color="auto"/>
            </w:tcBorders>
            <w:shd w:val="clear" w:color="auto" w:fill="EAEAEA"/>
          </w:tcPr>
          <w:p>
            <w:pPr>
              <w:spacing w:after="0"/>
              <w:rPr>
                <w:sz w:val="19"/>
                <w:szCs w:val="19"/>
                <w:color w:val="auto"/>
              </w:rPr>
            </w:pPr>
          </w:p>
        </w:tc>
        <w:tc>
          <w:tcPr>
            <w:tcW w:w="20" w:type="dxa"/>
            <w:vAlign w:val="bottom"/>
            <w:tcBorders>
              <w:top w:val="single" w:sz="8" w:color="EAEAEA"/>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auto"/>
            </w:tcBorders>
            <w:shd w:val="clear" w:color="auto" w:fill="EAEAEA"/>
          </w:tcPr>
          <w:p>
            <w:pPr>
              <w:spacing w:after="0"/>
              <w:rPr>
                <w:sz w:val="19"/>
                <w:szCs w:val="19"/>
                <w:color w:val="auto"/>
              </w:rPr>
            </w:pPr>
          </w:p>
        </w:tc>
        <w:tc>
          <w:tcPr>
            <w:tcW w:w="72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60" w:type="dxa"/>
            <w:vAlign w:val="bottom"/>
            <w:tcBorders>
              <w:top w:val="single" w:sz="8" w:color="auto"/>
            </w:tcBorders>
            <w:shd w:val="clear" w:color="auto" w:fill="EAEAEA"/>
          </w:tcPr>
          <w:p>
            <w:pPr>
              <w:spacing w:after="0"/>
              <w:rPr>
                <w:sz w:val="19"/>
                <w:szCs w:val="19"/>
                <w:color w:val="auto"/>
              </w:rPr>
            </w:pPr>
          </w:p>
        </w:tc>
        <w:tc>
          <w:tcPr>
            <w:tcW w:w="220" w:type="dxa"/>
            <w:vAlign w:val="bottom"/>
            <w:tcBorders>
              <w:top w:val="single" w:sz="8" w:color="auto"/>
            </w:tcBorders>
            <w:shd w:val="clear" w:color="auto" w:fill="EAEAEA"/>
          </w:tcPr>
          <w:p>
            <w:pPr>
              <w:spacing w:after="0"/>
              <w:rPr>
                <w:sz w:val="19"/>
                <w:szCs w:val="19"/>
                <w:color w:val="auto"/>
              </w:rPr>
            </w:pPr>
          </w:p>
        </w:tc>
        <w:tc>
          <w:tcPr>
            <w:tcW w:w="140" w:type="dxa"/>
            <w:vAlign w:val="bottom"/>
            <w:tcBorders>
              <w:top w:val="single" w:sz="8" w:color="auto"/>
            </w:tcBorders>
            <w:shd w:val="clear" w:color="auto" w:fill="EAEAEA"/>
          </w:tcPr>
          <w:p>
            <w:pPr>
              <w:spacing w:after="0"/>
              <w:rPr>
                <w:sz w:val="19"/>
                <w:szCs w:val="19"/>
                <w:color w:val="auto"/>
              </w:rPr>
            </w:pPr>
          </w:p>
        </w:tc>
        <w:tc>
          <w:tcPr>
            <w:tcW w:w="280" w:type="dxa"/>
            <w:vAlign w:val="bottom"/>
            <w:tcBorders>
              <w:top w:val="single" w:sz="8" w:color="auto"/>
            </w:tcBorders>
            <w:shd w:val="clear" w:color="auto" w:fill="EAEAEA"/>
          </w:tcPr>
          <w:p>
            <w:pPr>
              <w:spacing w:after="0"/>
              <w:rPr>
                <w:sz w:val="19"/>
                <w:szCs w:val="19"/>
                <w:color w:val="auto"/>
              </w:rPr>
            </w:pPr>
          </w:p>
        </w:tc>
        <w:tc>
          <w:tcPr>
            <w:tcW w:w="20" w:type="dxa"/>
            <w:vAlign w:val="bottom"/>
            <w:tcBorders>
              <w:top w:val="single" w:sz="8" w:color="auto"/>
            </w:tcBorders>
            <w:shd w:val="clear" w:color="auto" w:fill="EAEAEA"/>
          </w:tcPr>
          <w:p>
            <w:pPr>
              <w:spacing w:after="0"/>
              <w:rPr>
                <w:sz w:val="19"/>
                <w:szCs w:val="19"/>
                <w:color w:val="auto"/>
              </w:rPr>
            </w:pPr>
          </w:p>
        </w:tc>
        <w:tc>
          <w:tcPr>
            <w:tcW w:w="40" w:type="dxa"/>
            <w:vAlign w:val="bottom"/>
            <w:tcBorders>
              <w:top w:val="single" w:sz="8" w:color="EAEAEA"/>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60" w:type="dxa"/>
            <w:vAlign w:val="bottom"/>
            <w:tcBorders>
              <w:top w:val="single" w:sz="8" w:color="auto"/>
            </w:tcBorders>
            <w:shd w:val="clear" w:color="auto" w:fill="EAEAEA"/>
          </w:tcPr>
          <w:p>
            <w:pPr>
              <w:spacing w:after="0"/>
              <w:rPr>
                <w:sz w:val="19"/>
                <w:szCs w:val="19"/>
                <w:color w:val="auto"/>
              </w:rPr>
            </w:pPr>
          </w:p>
        </w:tc>
        <w:tc>
          <w:tcPr>
            <w:tcW w:w="300" w:type="dxa"/>
            <w:vAlign w:val="bottom"/>
            <w:tcBorders>
              <w:top w:val="single" w:sz="8" w:color="auto"/>
            </w:tcBorders>
            <w:shd w:val="clear" w:color="auto" w:fill="EAEAEA"/>
          </w:tcPr>
          <w:p>
            <w:pPr>
              <w:spacing w:after="0"/>
              <w:rPr>
                <w:sz w:val="19"/>
                <w:szCs w:val="19"/>
                <w:color w:val="auto"/>
              </w:rPr>
            </w:pPr>
          </w:p>
        </w:tc>
        <w:tc>
          <w:tcPr>
            <w:tcW w:w="34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auto"/>
            </w:tcBorders>
            <w:shd w:val="clear" w:color="auto" w:fill="EAEAEA"/>
          </w:tcPr>
          <w:p>
            <w:pPr>
              <w:spacing w:after="0"/>
              <w:rPr>
                <w:sz w:val="19"/>
                <w:szCs w:val="19"/>
                <w:color w:val="auto"/>
              </w:rPr>
            </w:pPr>
          </w:p>
        </w:tc>
        <w:tc>
          <w:tcPr>
            <w:tcW w:w="70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auto"/>
            </w:tcBorders>
            <w:shd w:val="clear" w:color="auto" w:fill="EAEAEA"/>
          </w:tcPr>
          <w:p>
            <w:pPr>
              <w:spacing w:after="0"/>
              <w:rPr>
                <w:sz w:val="19"/>
                <w:szCs w:val="19"/>
                <w:color w:val="auto"/>
              </w:rPr>
            </w:pPr>
          </w:p>
        </w:tc>
        <w:tc>
          <w:tcPr>
            <w:tcW w:w="300" w:type="dxa"/>
            <w:vAlign w:val="bottom"/>
            <w:tcBorders>
              <w:top w:val="single" w:sz="8" w:color="auto"/>
            </w:tcBorders>
            <w:shd w:val="clear" w:color="auto" w:fill="EAEAEA"/>
          </w:tcPr>
          <w:p>
            <w:pPr>
              <w:spacing w:after="0"/>
              <w:rPr>
                <w:sz w:val="19"/>
                <w:szCs w:val="19"/>
                <w:color w:val="auto"/>
              </w:rPr>
            </w:pPr>
          </w:p>
        </w:tc>
        <w:tc>
          <w:tcPr>
            <w:tcW w:w="320" w:type="dxa"/>
            <w:vAlign w:val="bottom"/>
            <w:tcBorders>
              <w:top w:val="single" w:sz="8" w:color="auto"/>
            </w:tcBorders>
            <w:shd w:val="clear" w:color="auto" w:fill="EAEAEA"/>
          </w:tcPr>
          <w:p>
            <w:pPr>
              <w:spacing w:after="0"/>
              <w:rPr>
                <w:sz w:val="19"/>
                <w:szCs w:val="19"/>
                <w:color w:val="auto"/>
              </w:rPr>
            </w:pPr>
          </w:p>
        </w:tc>
        <w:tc>
          <w:tcPr>
            <w:tcW w:w="20" w:type="dxa"/>
            <w:vAlign w:val="bottom"/>
            <w:tcBorders>
              <w:top w:val="single" w:sz="8" w:color="auto"/>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34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benefits (a):</w:t>
            </w:r>
          </w:p>
        </w:tc>
        <w:tc>
          <w:tcPr>
            <w:tcW w:w="80" w:type="dxa"/>
            <w:vAlign w:val="bottom"/>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2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Amortization of net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actuarial gain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(6,923)</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EAEAEA"/>
          </w:tcPr>
          <w:p>
            <w:pPr>
              <w:spacing w:after="0" w:line="222" w:lineRule="exact"/>
              <w:rPr>
                <w:sz w:val="20"/>
                <w:szCs w:val="20"/>
                <w:color w:val="auto"/>
              </w:rPr>
            </w:pPr>
            <w:r>
              <w:rPr>
                <w:rFonts w:ascii="Times New Roman" w:cs="Times New Roman" w:eastAsia="Times New Roman" w:hAnsi="Times New Roman"/>
                <w:sz w:val="20"/>
                <w:szCs w:val="20"/>
                <w:color w:val="auto"/>
                <w:shd w:val="clear" w:color="auto" w:fill="EAEAEA"/>
              </w:rPr>
              <w:t>Actuarial gain</w:t>
            </w:r>
          </w:p>
        </w:tc>
        <w:tc>
          <w:tcPr>
            <w:tcW w:w="80" w:type="dxa"/>
            <w:vAlign w:val="bottom"/>
            <w:shd w:val="clear" w:color="auto" w:fill="EAEAEA"/>
          </w:tcPr>
          <w:p>
            <w:pPr>
              <w:spacing w:after="0"/>
              <w:rPr>
                <w:sz w:val="20"/>
                <w:szCs w:val="20"/>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27,986</w:t>
            </w:r>
          </w:p>
        </w:tc>
        <w:tc>
          <w:tcPr>
            <w:tcW w:w="1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(6,763</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1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21,223</w:t>
            </w:r>
          </w:p>
        </w:tc>
        <w:tc>
          <w:tcPr>
            <w:tcW w:w="1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64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51,149</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(12,180</w:t>
            </w:r>
          </w:p>
        </w:tc>
        <w:tc>
          <w:tcPr>
            <w:tcW w:w="100" w:type="dxa"/>
            <w:vAlign w:val="bottom"/>
            <w:shd w:val="clear" w:color="auto" w:fill="EAEAEA"/>
          </w:tcPr>
          <w:p>
            <w:pPr>
              <w:jc w:val="right"/>
              <w:ind w:right="2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4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38,969</w:t>
            </w:r>
          </w:p>
        </w:tc>
        <w:tc>
          <w:tcPr>
            <w:tcW w:w="2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6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22,438</w:t>
            </w:r>
          </w:p>
        </w:tc>
        <w:tc>
          <w:tcPr>
            <w:tcW w:w="1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7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(5,467</w:t>
            </w:r>
          </w:p>
        </w:tc>
        <w:tc>
          <w:tcPr>
            <w:tcW w:w="100" w:type="dxa"/>
            <w:vAlign w:val="bottom"/>
            <w:shd w:val="clear" w:color="auto" w:fill="EAEAEA"/>
          </w:tcPr>
          <w:p>
            <w:pPr>
              <w:jc w:val="right"/>
              <w:ind w:right="2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0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6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16,971</w:t>
            </w:r>
          </w:p>
        </w:tc>
        <w:tc>
          <w:tcPr>
            <w:tcW w:w="80" w:type="dxa"/>
            <w:vAlign w:val="bottom"/>
            <w:gridSpan w:val="2"/>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Foreign currency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translation adjustments</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restart"/>
          </w:tcPr>
          <w:p>
            <w:pPr>
              <w:spacing w:after="0"/>
              <w:rPr>
                <w:sz w:val="9"/>
                <w:szCs w:val="9"/>
                <w:color w:val="auto"/>
              </w:rPr>
            </w:pPr>
          </w:p>
        </w:tc>
        <w:tc>
          <w:tcPr>
            <w:tcW w:w="28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vMerge w:val="restart"/>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vMerge w:val="restart"/>
          </w:tcPr>
          <w:p>
            <w:pPr>
              <w:spacing w:after="0"/>
              <w:rPr>
                <w:sz w:val="9"/>
                <w:szCs w:val="9"/>
                <w:color w:val="auto"/>
              </w:rPr>
            </w:pPr>
          </w:p>
        </w:tc>
        <w:tc>
          <w:tcPr>
            <w:tcW w:w="3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spacing w:after="0"/>
              <w:rPr>
                <w:sz w:val="9"/>
                <w:szCs w:val="9"/>
                <w:color w:val="auto"/>
              </w:rPr>
            </w:pPr>
          </w:p>
        </w:tc>
        <w:tc>
          <w:tcPr>
            <w:tcW w:w="3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80" w:type="dxa"/>
            <w:vAlign w:val="bottom"/>
            <w:gridSpan w:val="2"/>
            <w:vMerge w:val="restart"/>
          </w:tcPr>
          <w:p>
            <w:pPr>
              <w:jc w:val="right"/>
              <w:spacing w:after="0" w:line="138" w:lineRule="exact"/>
              <w:rPr>
                <w:sz w:val="20"/>
                <w:szCs w:val="20"/>
                <w:color w:val="auto"/>
              </w:rPr>
            </w:pPr>
            <w:r>
              <w:rPr>
                <w:rFonts w:ascii="Times New Roman" w:cs="Times New Roman" w:eastAsia="Times New Roman" w:hAnsi="Times New Roman"/>
                <w:sz w:val="15"/>
                <w:szCs w:val="15"/>
                <w:color w:val="auto"/>
                <w:highlight w:val="white"/>
                <w:w w:val="94"/>
              </w:rPr>
              <w:t>(857</w:t>
            </w:r>
          </w:p>
        </w:tc>
        <w:tc>
          <w:tcPr>
            <w:tcW w:w="20" w:type="dxa"/>
            <w:vAlign w:val="bottom"/>
            <w:vMerge w:val="continue"/>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8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5"/>
                <w:szCs w:val="15"/>
                <w:color w:val="auto"/>
                <w:highlight w:val="white"/>
                <w:w w:val="94"/>
              </w:rPr>
              <w:t>(857</w:t>
            </w:r>
          </w:p>
        </w:tc>
        <w:tc>
          <w:tcPr>
            <w:tcW w:w="20" w:type="dxa"/>
            <w:vAlign w:val="bottom"/>
            <w:vMerge w:val="continue"/>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40" w:type="dxa"/>
            <w:vAlign w:val="bottom"/>
            <w:tcBorders>
              <w:bottom w:val="single" w:sz="8" w:color="EAEAEA"/>
            </w:tcBorders>
            <w:gridSpan w:val="2"/>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120" w:type="dxa"/>
            <w:vAlign w:val="bottom"/>
            <w:tcBorders>
              <w:bottom w:val="single" w:sz="8" w:color="EAEAEA"/>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EAEAEA"/>
            </w:tcBorders>
            <w:vMerge w:val="continue"/>
          </w:tcPr>
          <w:p>
            <w:pPr>
              <w:spacing w:after="0"/>
              <w:rPr>
                <w:sz w:val="10"/>
                <w:szCs w:val="10"/>
                <w:color w:val="auto"/>
              </w:rPr>
            </w:pPr>
          </w:p>
        </w:tc>
        <w:tc>
          <w:tcPr>
            <w:tcW w:w="60" w:type="dxa"/>
            <w:vAlign w:val="bottom"/>
            <w:tcBorders>
              <w:bottom w:val="single" w:sz="8" w:color="EAEAEA"/>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EAEAEA"/>
            </w:tcBorders>
            <w:vMerge w:val="continue"/>
          </w:tcPr>
          <w:p>
            <w:pPr>
              <w:spacing w:after="0"/>
              <w:rPr>
                <w:sz w:val="10"/>
                <w:szCs w:val="10"/>
                <w:color w:val="auto"/>
              </w:rPr>
            </w:pPr>
          </w:p>
        </w:tc>
        <w:tc>
          <w:tcPr>
            <w:tcW w:w="60" w:type="dxa"/>
            <w:vAlign w:val="bottom"/>
            <w:tcBorders>
              <w:bottom w:val="single" w:sz="8" w:color="EAEAEA"/>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3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color w:val="auto"/>
              </w:rPr>
              <w:t>1,425</w:t>
            </w:r>
          </w:p>
        </w:tc>
        <w:tc>
          <w:tcPr>
            <w:tcW w:w="100" w:type="dxa"/>
            <w:vAlign w:val="bottom"/>
            <w:tcBorders>
              <w:bottom w:val="single" w:sz="8" w:color="EAEAEA"/>
            </w:tcBorders>
          </w:tcPr>
          <w:p>
            <w:pPr>
              <w:spacing w:after="0"/>
              <w:rPr>
                <w:sz w:val="10"/>
                <w:szCs w:val="10"/>
                <w:color w:val="auto"/>
              </w:rPr>
            </w:pPr>
          </w:p>
        </w:tc>
        <w:tc>
          <w:tcPr>
            <w:tcW w:w="120" w:type="dxa"/>
            <w:vAlign w:val="bottom"/>
            <w:tcBorders>
              <w:bottom w:val="single" w:sz="8" w:color="EAEAEA"/>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100" w:type="dxa"/>
            <w:vAlign w:val="bottom"/>
            <w:tcBorders>
              <w:bottom w:val="single" w:sz="8" w:color="EAEAEA"/>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color w:val="auto"/>
                <w:w w:val="95"/>
              </w:rPr>
              <w:t>1,425</w:t>
            </w:r>
          </w:p>
        </w:tc>
        <w:tc>
          <w:tcPr>
            <w:tcW w:w="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EAEAEA"/>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w w:val="94"/>
                <w:shd w:val="clear" w:color="auto" w:fill="EAEAEA"/>
              </w:rPr>
              <w:t>Total</w:t>
            </w:r>
          </w:p>
        </w:tc>
        <w:tc>
          <w:tcPr>
            <w:tcW w:w="192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19,599</w:t>
            </w:r>
          </w:p>
        </w:tc>
        <w:tc>
          <w:tcPr>
            <w:tcW w:w="10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EAEAEA"/>
            </w:tcBorders>
            <w:shd w:val="clear" w:color="auto" w:fill="EAEAEA"/>
          </w:tcPr>
          <w:p>
            <w:pPr>
              <w:spacing w:after="0"/>
              <w:rPr>
                <w:sz w:val="23"/>
                <w:szCs w:val="23"/>
                <w:color w:val="auto"/>
              </w:rPr>
            </w:pPr>
          </w:p>
        </w:tc>
        <w:tc>
          <w:tcPr>
            <w:tcW w:w="1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7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(4,449</w:t>
            </w:r>
          </w:p>
        </w:tc>
        <w:tc>
          <w:tcPr>
            <w:tcW w:w="1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120" w:type="dxa"/>
            <w:vAlign w:val="bottom"/>
            <w:tcBorders>
              <w:bottom w:val="single" w:sz="8" w:color="EAEAEA"/>
            </w:tcBorders>
            <w:shd w:val="clear" w:color="auto" w:fill="EAEAEA"/>
          </w:tcPr>
          <w:p>
            <w:pPr>
              <w:spacing w:after="0"/>
              <w:rPr>
                <w:sz w:val="23"/>
                <w:szCs w:val="23"/>
                <w:color w:val="auto"/>
              </w:rPr>
            </w:pPr>
          </w:p>
        </w:tc>
        <w:tc>
          <w:tcPr>
            <w:tcW w:w="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64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15,150</w:t>
            </w:r>
          </w:p>
        </w:tc>
        <w:tc>
          <w:tcPr>
            <w:tcW w:w="10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40" w:type="dxa"/>
            <w:vAlign w:val="bottom"/>
            <w:tcBorders>
              <w:bottom w:val="single" w:sz="8" w:color="EAEAEA"/>
            </w:tcBorders>
            <w:gridSpan w:val="3"/>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47,714</w:t>
            </w:r>
          </w:p>
        </w:tc>
        <w:tc>
          <w:tcPr>
            <w:tcW w:w="20" w:type="dxa"/>
            <w:vAlign w:val="bottom"/>
            <w:tcBorders>
              <w:bottom w:val="single" w:sz="8" w:color="EAEAEA"/>
            </w:tcBorders>
            <w:shd w:val="clear" w:color="auto" w:fill="EAEAEA"/>
          </w:tcPr>
          <w:p>
            <w:pPr>
              <w:spacing w:after="0"/>
              <w:rPr>
                <w:sz w:val="23"/>
                <w:szCs w:val="23"/>
                <w:color w:val="auto"/>
              </w:rPr>
            </w:pPr>
          </w:p>
        </w:tc>
        <w:tc>
          <w:tcPr>
            <w:tcW w:w="20" w:type="dxa"/>
            <w:vAlign w:val="bottom"/>
            <w:tcBorders>
              <w:bottom w:val="single" w:sz="8" w:color="EAEAEA"/>
            </w:tcBorders>
            <w:shd w:val="clear" w:color="auto" w:fill="EAEAEA"/>
          </w:tcPr>
          <w:p>
            <w:pPr>
              <w:spacing w:after="0"/>
              <w:rPr>
                <w:sz w:val="23"/>
                <w:szCs w:val="23"/>
                <w:color w:val="auto"/>
              </w:rPr>
            </w:pPr>
          </w:p>
        </w:tc>
        <w:tc>
          <w:tcPr>
            <w:tcW w:w="6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EAEAEA"/>
            </w:tcBorders>
            <w:shd w:val="clear" w:color="auto" w:fill="EAEAEA"/>
          </w:tcPr>
          <w:p>
            <w:pPr>
              <w:spacing w:after="0"/>
              <w:rPr>
                <w:sz w:val="23"/>
                <w:szCs w:val="23"/>
                <w:color w:val="auto"/>
              </w:rPr>
            </w:pPr>
          </w:p>
        </w:tc>
        <w:tc>
          <w:tcPr>
            <w:tcW w:w="1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7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(11,528</w:t>
            </w:r>
          </w:p>
        </w:tc>
        <w:tc>
          <w:tcPr>
            <w:tcW w:w="100" w:type="dxa"/>
            <w:vAlign w:val="bottom"/>
            <w:tcBorders>
              <w:bottom w:val="single" w:sz="8" w:color="EAEAEA"/>
            </w:tcBorders>
            <w:shd w:val="clear" w:color="auto" w:fill="EAEAEA"/>
          </w:tcPr>
          <w:p>
            <w:pPr>
              <w:jc w:val="right"/>
              <w:ind w:right="2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00" w:type="dxa"/>
            <w:vAlign w:val="bottom"/>
            <w:tcBorders>
              <w:bottom w:val="single" w:sz="8" w:color="EAEAEA"/>
            </w:tcBorders>
            <w:shd w:val="clear" w:color="auto" w:fill="EAEAEA"/>
          </w:tcPr>
          <w:p>
            <w:pPr>
              <w:spacing w:after="0"/>
              <w:rPr>
                <w:sz w:val="23"/>
                <w:szCs w:val="23"/>
                <w:color w:val="auto"/>
              </w:rPr>
            </w:pPr>
          </w:p>
        </w:tc>
        <w:tc>
          <w:tcPr>
            <w:tcW w:w="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220" w:type="dxa"/>
            <w:vAlign w:val="bottom"/>
            <w:tcBorders>
              <w:bottom w:val="single" w:sz="8" w:color="EAEAEA"/>
            </w:tcBorders>
            <w:shd w:val="clear" w:color="auto" w:fill="EAEAEA"/>
          </w:tcPr>
          <w:p>
            <w:pPr>
              <w:spacing w:after="0"/>
              <w:rPr>
                <w:sz w:val="23"/>
                <w:szCs w:val="23"/>
                <w:color w:val="auto"/>
              </w:rPr>
            </w:pPr>
          </w:p>
        </w:tc>
        <w:tc>
          <w:tcPr>
            <w:tcW w:w="42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90"/>
                <w:shd w:val="clear" w:color="auto" w:fill="EAEAEA"/>
              </w:rPr>
              <w:t>36,186</w:t>
            </w:r>
          </w:p>
        </w:tc>
        <w:tc>
          <w:tcPr>
            <w:tcW w:w="20" w:type="dxa"/>
            <w:vAlign w:val="bottom"/>
            <w:tcBorders>
              <w:bottom w:val="single" w:sz="8" w:color="EAEAEA"/>
            </w:tcBorders>
            <w:shd w:val="clear" w:color="auto" w:fill="EAEAEA"/>
          </w:tcPr>
          <w:p>
            <w:pPr>
              <w:spacing w:after="0"/>
              <w:rPr>
                <w:sz w:val="23"/>
                <w:szCs w:val="23"/>
                <w:color w:val="auto"/>
              </w:rPr>
            </w:pPr>
          </w:p>
        </w:tc>
        <w:tc>
          <w:tcPr>
            <w:tcW w:w="40" w:type="dxa"/>
            <w:vAlign w:val="bottom"/>
            <w:tcBorders>
              <w:bottom w:val="single" w:sz="8" w:color="EAEAEA"/>
            </w:tcBorders>
            <w:shd w:val="clear" w:color="auto" w:fill="EAEAEA"/>
          </w:tcPr>
          <w:p>
            <w:pPr>
              <w:spacing w:after="0"/>
              <w:rPr>
                <w:sz w:val="23"/>
                <w:szCs w:val="23"/>
                <w:color w:val="auto"/>
              </w:rPr>
            </w:pPr>
          </w:p>
        </w:tc>
        <w:tc>
          <w:tcPr>
            <w:tcW w:w="6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EAEAEA"/>
            </w:tcBorders>
            <w:shd w:val="clear" w:color="auto" w:fill="EAEAEA"/>
          </w:tcPr>
          <w:p>
            <w:pPr>
              <w:spacing w:after="0"/>
              <w:rPr>
                <w:sz w:val="23"/>
                <w:szCs w:val="23"/>
                <w:color w:val="auto"/>
              </w:rPr>
            </w:pPr>
          </w:p>
        </w:tc>
        <w:tc>
          <w:tcPr>
            <w:tcW w:w="6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64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23,542</w:t>
            </w:r>
          </w:p>
        </w:tc>
        <w:tc>
          <w:tcPr>
            <w:tcW w:w="100" w:type="dxa"/>
            <w:vAlign w:val="bottom"/>
            <w:tcBorders>
              <w:bottom w:val="single" w:sz="8" w:color="EAEAEA"/>
            </w:tcBorders>
            <w:shd w:val="clear" w:color="auto" w:fill="EAEAEA"/>
          </w:tcPr>
          <w:p>
            <w:pPr>
              <w:spacing w:after="0"/>
              <w:rPr>
                <w:sz w:val="23"/>
                <w:szCs w:val="23"/>
                <w:color w:val="auto"/>
              </w:rPr>
            </w:pPr>
          </w:p>
        </w:tc>
        <w:tc>
          <w:tcPr>
            <w:tcW w:w="120" w:type="dxa"/>
            <w:vAlign w:val="bottom"/>
            <w:tcBorders>
              <w:bottom w:val="single" w:sz="8" w:color="EAEAEA"/>
            </w:tcBorders>
            <w:shd w:val="clear" w:color="auto" w:fill="EAEAEA"/>
          </w:tcPr>
          <w:p>
            <w:pPr>
              <w:spacing w:after="0"/>
              <w:rPr>
                <w:sz w:val="23"/>
                <w:szCs w:val="23"/>
                <w:color w:val="auto"/>
              </w:rPr>
            </w:pPr>
          </w:p>
        </w:tc>
        <w:tc>
          <w:tcPr>
            <w:tcW w:w="1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AEAEA"/>
              </w:rPr>
              <w:t>$</w:t>
            </w:r>
          </w:p>
        </w:tc>
        <w:tc>
          <w:tcPr>
            <w:tcW w:w="70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(5,389</w:t>
            </w:r>
          </w:p>
        </w:tc>
        <w:tc>
          <w:tcPr>
            <w:tcW w:w="100" w:type="dxa"/>
            <w:vAlign w:val="bottom"/>
            <w:tcBorders>
              <w:bottom w:val="single" w:sz="8" w:color="EAEAEA"/>
            </w:tcBorders>
            <w:shd w:val="clear" w:color="auto" w:fill="EAEAEA"/>
          </w:tcPr>
          <w:p>
            <w:pPr>
              <w:jc w:val="right"/>
              <w:ind w:right="20"/>
              <w:spacing w:after="0"/>
              <w:rPr>
                <w:sz w:val="20"/>
                <w:szCs w:val="20"/>
                <w:color w:val="auto"/>
              </w:rPr>
            </w:pPr>
            <w:r>
              <w:rPr>
                <w:rFonts w:ascii="Times New Roman" w:cs="Times New Roman" w:eastAsia="Times New Roman" w:hAnsi="Times New Roman"/>
                <w:sz w:val="8"/>
                <w:szCs w:val="8"/>
                <w:color w:val="auto"/>
                <w:w w:val="73"/>
                <w:shd w:val="clear" w:color="auto" w:fill="EAEAEA"/>
              </w:rPr>
              <w:t>)</w:t>
            </w:r>
          </w:p>
        </w:tc>
        <w:tc>
          <w:tcPr>
            <w:tcW w:w="100" w:type="dxa"/>
            <w:vAlign w:val="bottom"/>
            <w:tcBorders>
              <w:bottom w:val="single" w:sz="8" w:color="EAEAEA"/>
            </w:tcBorders>
            <w:shd w:val="clear" w:color="auto" w:fill="EAEAEA"/>
          </w:tcPr>
          <w:p>
            <w:pPr>
              <w:spacing w:after="0"/>
              <w:rPr>
                <w:sz w:val="23"/>
                <w:szCs w:val="23"/>
                <w:color w:val="auto"/>
              </w:rPr>
            </w:pPr>
          </w:p>
        </w:tc>
        <w:tc>
          <w:tcPr>
            <w:tcW w:w="8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620" w:type="dxa"/>
            <w:vAlign w:val="bottom"/>
            <w:tcBorders>
              <w:bottom w:val="single" w:sz="8" w:color="EAEAEA"/>
            </w:tcBorders>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18,153</w:t>
            </w:r>
          </w:p>
        </w:tc>
        <w:tc>
          <w:tcPr>
            <w:tcW w:w="20" w:type="dxa"/>
            <w:vAlign w:val="bottom"/>
            <w:tcBorders>
              <w:bottom w:val="single" w:sz="8" w:color="EAEAEA"/>
            </w:tcBorders>
            <w:shd w:val="clear" w:color="auto" w:fill="EAEAEA"/>
          </w:tcPr>
          <w:p>
            <w:pPr>
              <w:spacing w:after="0"/>
              <w:rPr>
                <w:sz w:val="23"/>
                <w:szCs w:val="23"/>
                <w:color w:val="auto"/>
              </w:rPr>
            </w:pPr>
          </w:p>
        </w:tc>
        <w:tc>
          <w:tcPr>
            <w:tcW w:w="60" w:type="dxa"/>
            <w:vAlign w:val="bottom"/>
            <w:tcBorders>
              <w:bottom w:val="single" w:sz="8" w:color="EAEAEA"/>
            </w:tcBorders>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-1739265</wp:posOffset>
            </wp:positionV>
            <wp:extent cx="5350510"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55">
                      <a:extLst>
                        <a:ext uri="{28A0092B-C50C-407E-A947-70E740481C1C}"/>
                      </a:extLst>
                    </a:blip>
                    <a:srcRect/>
                    <a:stretch>
                      <a:fillRect/>
                    </a:stretch>
                  </pic:blipFill>
                  <pic:spPr bwMode="auto">
                    <a:xfrm>
                      <a:off x="0" y="0"/>
                      <a:ext cx="5350510" cy="3492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-1612900</wp:posOffset>
            </wp:positionV>
            <wp:extent cx="5350510"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56">
                      <a:extLst>
                        <a:ext uri="{28A0092B-C50C-407E-A947-70E740481C1C}"/>
                      </a:extLst>
                    </a:blip>
                    <a:srcRect/>
                    <a:stretch>
                      <a:fillRect/>
                    </a:stretch>
                  </pic:blipFill>
                  <pic:spPr bwMode="auto">
                    <a:xfrm>
                      <a:off x="0" y="0"/>
                      <a:ext cx="5350510" cy="34925"/>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-1243330</wp:posOffset>
            </wp:positionV>
            <wp:extent cx="54800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57">
                      <a:extLst>
                        <a:ext uri="{28A0092B-C50C-407E-A947-70E740481C1C}"/>
                      </a:extLst>
                    </a:blip>
                    <a:srcRect/>
                    <a:stretch>
                      <a:fillRect/>
                    </a:stretch>
                  </pic:blipFill>
                  <pic:spPr bwMode="auto">
                    <a:xfrm>
                      <a:off x="0" y="0"/>
                      <a:ext cx="548005" cy="25400"/>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-211455</wp:posOffset>
            </wp:positionV>
            <wp:extent cx="54800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58">
                      <a:extLst>
                        <a:ext uri="{28A0092B-C50C-407E-A947-70E740481C1C}"/>
                      </a:extLst>
                    </a:blip>
                    <a:srcRect/>
                    <a:stretch>
                      <a:fillRect/>
                    </a:stretch>
                  </pic:blipFill>
                  <pic:spPr bwMode="auto">
                    <a:xfrm>
                      <a:off x="0" y="0"/>
                      <a:ext cx="548005" cy="25400"/>
                    </a:xfrm>
                    <a:prstGeom prst="rect">
                      <a:avLst/>
                    </a:prstGeom>
                    <a:noFill/>
                  </pic:spPr>
                </pic:pic>
              </a:graphicData>
            </a:graphic>
          </wp:anchor>
        </w:drawing>
      </w:r>
    </w:p>
    <w:p>
      <w:pPr>
        <w:spacing w:after="0" w:line="192" w:lineRule="exact"/>
        <w:rPr>
          <w:sz w:val="20"/>
          <w:szCs w:val="20"/>
          <w:color w:val="auto"/>
        </w:rPr>
      </w:pPr>
    </w:p>
    <w:p>
      <w:pPr>
        <w:ind w:left="720" w:hanging="360"/>
        <w:spacing w:after="0"/>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12 – Retirement Plans)</w:t>
      </w:r>
    </w:p>
    <w:p>
      <w:pPr>
        <w:spacing w:after="0" w:line="194" w:lineRule="exact"/>
        <w:rPr>
          <w:rFonts w:ascii="Times New Roman" w:cs="Times New Roman" w:eastAsia="Times New Roman" w:hAnsi="Times New Roman"/>
          <w:sz w:val="18"/>
          <w:szCs w:val="18"/>
          <w:color w:val="auto"/>
        </w:rPr>
      </w:pPr>
    </w:p>
    <w:p>
      <w:pPr>
        <w:ind w:left="380" w:hanging="380"/>
        <w:spacing w:after="0"/>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Contingencies and Commitments</w:t>
      </w:r>
    </w:p>
    <w:p>
      <w:pPr>
        <w:spacing w:after="0" w:line="203" w:lineRule="exact"/>
        <w:rPr>
          <w:rFonts w:ascii="Times New Roman" w:cs="Times New Roman" w:eastAsia="Times New Roman" w:hAnsi="Times New Roman"/>
          <w:sz w:val="20"/>
          <w:szCs w:val="20"/>
          <w:b w:val="1"/>
          <w:bCs w:val="1"/>
          <w:color w:val="auto"/>
        </w:rPr>
      </w:pPr>
    </w:p>
    <w:p>
      <w:pPr>
        <w:ind w:left="3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2009, the Company was named by the Environmental Protection Agency (the “EPA”) as a Potentially Responsible Party</w:t>
      </w:r>
    </w:p>
    <w:p>
      <w:pPr>
        <w:spacing w:after="0" w:line="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w:t>
      </w:r>
    </w:p>
    <w:p>
      <w:pPr>
        <w:spacing w:after="0" w:line="1"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 ial contribution is de minimis; however, to date neither the EPA nor the named PRPs have performed an allocation of potential liability in connection with the site nor have they provided costs and expenses in connection with the site.</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February 20, 2015, the Company was served as a defendant in a Complaint originally filed on August 14, 2014, in the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District Court of the Southern District of Texas - Houston Division, </w:t>
      </w:r>
      <w:r>
        <w:rPr>
          <w:rFonts w:ascii="Times New Roman" w:cs="Times New Roman" w:eastAsia="Times New Roman" w:hAnsi="Times New Roman"/>
          <w:sz w:val="20"/>
          <w:szCs w:val="20"/>
          <w:i w:val="1"/>
          <w:iCs w:val="1"/>
          <w:color w:val="auto"/>
        </w:rPr>
        <w:t>USOR Site PRP Group vs. A&amp;M Contractors, USES, Inc. et al.</w:t>
      </w:r>
    </w:p>
    <w:p>
      <w:pPr>
        <w:jc w:val="both"/>
        <w:ind w:firstLine="6"/>
        <w:spacing w:after="0"/>
        <w:rPr>
          <w:sz w:val="20"/>
          <w:szCs w:val="20"/>
          <w:color w:val="auto"/>
        </w:rPr>
      </w:pPr>
      <w:r>
        <w:rPr>
          <w:rFonts w:ascii="Times New Roman" w:cs="Times New Roman" w:eastAsia="Times New Roman" w:hAnsi="Times New Roman"/>
          <w:sz w:val="20"/>
          <w:szCs w:val="20"/>
          <w:color w:val="auto"/>
        </w:rPr>
        <w:t>This is a civil action pursuant to the provisions of CERCLA and the Texas Solid Waste Disposal Act for recovery of past and futur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joined as a member of the PRP Group companies at its pro-rata allocated share.</w:t>
      </w:r>
    </w:p>
    <w:p>
      <w:pPr>
        <w:spacing w:after="0" w:line="20" w:lineRule="exact"/>
        <w:rPr>
          <w:sz w:val="20"/>
          <w:szCs w:val="20"/>
          <w:color w:val="auto"/>
        </w:rPr>
      </w:pP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October 13, 2016, the Company, as a successor to Hollywood Marine, Inc. (“Hollywood Marine”), was issued a General</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Notice under CERCLA by the EPA in which it was named as a PRP for liabilities associated with the SBA Shipyard Site located near Jennings, Louisiana (the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w:t>
      </w:r>
    </w:p>
    <w:p>
      <w:pPr>
        <w:spacing w:after="0" w:line="20" w:lineRule="exact"/>
        <w:rPr>
          <w:sz w:val="20"/>
          <w:szCs w:val="20"/>
          <w:color w:val="auto"/>
        </w:rPr>
      </w:pPr>
    </w:p>
    <w:p>
      <w:pPr>
        <w:sectPr>
          <w:pgSz w:w="12240" w:h="15840" w:orient="portrait"/>
          <w:cols w:equalWidth="0" w:num="1">
            <w:col w:w="10800"/>
          </w:cols>
          <w:pgMar w:left="720" w:top="929" w:right="720" w:bottom="187"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10800"/>
          </w:cols>
          <w:pgMar w:left="720" w:top="929" w:right="720" w:bottom="187" w:gutter="0" w:footer="0" w:header="0"/>
          <w:type w:val="continuous"/>
        </w:sectPr>
      </w:pPr>
    </w:p>
    <w:bookmarkStart w:id="89" w:name="page90"/>
    <w:bookmarkEnd w:id="89"/>
    <w:p>
      <w:pPr>
        <w:jc w:val="both"/>
        <w:spacing w:after="0" w:line="249" w:lineRule="auto"/>
        <w:rPr>
          <w:sz w:val="20"/>
          <w:szCs w:val="20"/>
          <w:color w:val="auto"/>
        </w:rPr>
      </w:pPr>
      <w:r>
        <w:rPr>
          <w:rFonts w:ascii="Times New Roman" w:cs="Times New Roman" w:eastAsia="Times New Roman" w:hAnsi="Times New Roman"/>
          <w:sz w:val="20"/>
          <w:szCs w:val="20"/>
          <w:color w:val="auto"/>
        </w:rPr>
        <w:t>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joined the PRP Group of Companies in August 2025 with an agreed allocation under the PRP Group’s framework.</w:t>
      </w:r>
    </w:p>
    <w:p>
      <w:pPr>
        <w:spacing w:after="0" w:line="156" w:lineRule="exact"/>
        <w:rPr>
          <w:sz w:val="20"/>
          <w:szCs w:val="20"/>
          <w:color w:val="auto"/>
        </w:rPr>
      </w:pPr>
    </w:p>
    <w:p>
      <w:pPr>
        <w:jc w:val="both"/>
        <w:ind w:right="20" w:firstLine="363"/>
        <w:spacing w:after="0" w:line="259" w:lineRule="auto"/>
        <w:rPr>
          <w:sz w:val="20"/>
          <w:szCs w:val="20"/>
          <w:color w:val="auto"/>
        </w:rPr>
      </w:pPr>
      <w:r>
        <w:rPr>
          <w:rFonts w:ascii="Times New Roman" w:cs="Times New Roman" w:eastAsia="Times New Roman" w:hAnsi="Times New Roman"/>
          <w:sz w:val="20"/>
          <w:szCs w:val="20"/>
          <w:color w:val="auto"/>
        </w:rPr>
        <w:t>With respect to the above sites, the Company has accrued a liability, if applicable, for its estimated potential liability for its portion of the EPA’s past costs claim based on information developed to date including various factors such as the Company’s liability in proportion to other PRPs and the extent to which such costs are recoverable from third parties.</w:t>
      </w:r>
    </w:p>
    <w:p>
      <w:pPr>
        <w:spacing w:after="0" w:line="146" w:lineRule="exact"/>
        <w:rPr>
          <w:sz w:val="20"/>
          <w:szCs w:val="20"/>
          <w:color w:val="auto"/>
        </w:rPr>
      </w:pPr>
    </w:p>
    <w:p>
      <w:pPr>
        <w:jc w:val="both"/>
        <w:ind w:right="20" w:firstLine="360"/>
        <w:spacing w:after="0" w:line="242" w:lineRule="auto"/>
        <w:rPr>
          <w:sz w:val="20"/>
          <w:szCs w:val="20"/>
          <w:color w:val="auto"/>
        </w:rPr>
      </w:pPr>
      <w:r>
        <w:rPr>
          <w:rFonts w:ascii="Times New Roman" w:cs="Times New Roman" w:eastAsia="Times New Roman" w:hAnsi="Times New Roman"/>
          <w:sz w:val="20"/>
          <w:szCs w:val="20"/>
          <w:color w:val="auto"/>
        </w:rPr>
        <w:t>On October 13, 2016, the tug Nathan E. Stewart and barge DBL 55, an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 a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 policies covering liabilities including pollution, property, marine and general liability and believes that it has satisfactory insurance coverage for the cost of cleanup and salvage operations as well as other potential liabilities arising from the incident. The C mpany believes its accrual of such estimated liability is adequate for the incident and does not expect the incident to have a material adverse effect on its business or financial condition.</w:t>
      </w:r>
    </w:p>
    <w:p>
      <w:pPr>
        <w:spacing w:after="0" w:line="171" w:lineRule="exact"/>
        <w:rPr>
          <w:sz w:val="20"/>
          <w:szCs w:val="20"/>
          <w:color w:val="auto"/>
        </w:rPr>
      </w:pPr>
    </w:p>
    <w:p>
      <w:pPr>
        <w:jc w:val="both"/>
        <w:ind w:right="20" w:firstLine="364"/>
        <w:spacing w:after="0" w:line="252" w:lineRule="auto"/>
        <w:rPr>
          <w:sz w:val="20"/>
          <w:szCs w:val="20"/>
          <w:color w:val="auto"/>
        </w:rPr>
      </w:pPr>
      <w:r>
        <w:rPr>
          <w:rFonts w:ascii="Times New Roman" w:cs="Times New Roman" w:eastAsia="Times New Roman" w:hAnsi="Times New Roman"/>
          <w:sz w:val="20"/>
          <w:szCs w:val="20"/>
          <w:color w:val="auto"/>
        </w:rPr>
        <w:t>In addition, the Company is involved in various legal and other proceedings which are incidental to the conduct of its business none of which in the opinion of management will have a material effect on the Company’s financial condition, results of operation or cash flows. Management believes its accrual of such estimated liability is adequate and believes that it has adequate insurance coverage or has meritorious defenses for these other claims and contingencies.</w:t>
      </w:r>
    </w:p>
    <w:p>
      <w:pPr>
        <w:spacing w:after="0" w:line="154"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Certain Significant Risks and Uncertainties. </w:t>
      </w:r>
      <w:r>
        <w:rPr>
          <w:rFonts w:ascii="Times New Roman" w:cs="Times New Roman" w:eastAsia="Times New Roman" w:hAnsi="Times New Roman"/>
          <w:sz w:val="20"/>
          <w:szCs w:val="20"/>
          <w:color w:val="auto"/>
        </w:rPr>
        <w:t>The preparation of financial statements in conformity with United States generally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157" w:lineRule="exact"/>
        <w:rPr>
          <w:sz w:val="20"/>
          <w:szCs w:val="20"/>
          <w:color w:val="auto"/>
        </w:rPr>
      </w:pPr>
    </w:p>
    <w:p>
      <w:pPr>
        <w:jc w:val="both"/>
        <w:ind w:right="20" w:firstLine="358"/>
        <w:spacing w:after="0" w:line="247" w:lineRule="auto"/>
        <w:rPr>
          <w:sz w:val="20"/>
          <w:szCs w:val="20"/>
          <w:color w:val="auto"/>
        </w:rPr>
      </w:pPr>
      <w:r>
        <w:rPr>
          <w:rFonts w:ascii="Times New Roman" w:cs="Times New Roman" w:eastAsia="Times New Roman" w:hAnsi="Times New Roman"/>
          <w:sz w:val="20"/>
          <w:szCs w:val="20"/>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$30.2 million at December 31, 2025, including $11.3 million in letters of credit and $18.9 million in performance bonds. All of these instruments have an expiration date within tw years</w:t>
      </w:r>
    </w:p>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The Company does not believe demand for payment under these instruments is likely and expects no material cash outlays to occur in connection with these instruments.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Related Party Transactions</w:t>
      </w:r>
    </w:p>
    <w:p>
      <w:pPr>
        <w:spacing w:after="0" w:line="204" w:lineRule="exact"/>
        <w:rPr>
          <w:sz w:val="20"/>
          <w:szCs w:val="20"/>
          <w:color w:val="auto"/>
        </w:rPr>
      </w:pPr>
    </w:p>
    <w:p>
      <w:pPr>
        <w:jc w:val="both"/>
        <w:ind w:right="20" w:firstLine="358"/>
        <w:spacing w:after="0" w:line="249" w:lineRule="auto"/>
        <w:rPr>
          <w:sz w:val="20"/>
          <w:szCs w:val="20"/>
          <w:color w:val="auto"/>
        </w:rPr>
      </w:pPr>
      <w:r>
        <w:rPr>
          <w:rFonts w:ascii="Times New Roman" w:cs="Times New Roman" w:eastAsia="Times New Roman" w:hAnsi="Times New Roman"/>
          <w:sz w:val="20"/>
          <w:szCs w:val="20"/>
          <w:color w:val="auto"/>
        </w:rPr>
        <w:t>David W. Grzebinski, Chief Executive Officer of the Company, is a member of the board of directors for ABS, a not-for-profit that provides global classification services to the marine, offshore and gas industries. The Company paid ABS $1.6 million in 2025, $1.4 million in 2024, and $1.5 million in 2023 to perform audits and surveys of the Company’s vessels in the ordinary course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w:t>
      </w:r>
    </w:p>
    <w:p>
      <w:pPr>
        <w:spacing w:after="0" w:line="171"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Mr. Grzebinski is a member of the board of directors of UK Protection &amp; Indemnity Association (“UK P&amp;I”), a mutual marine protection and indemnity organization that provides protection and indemnity insurance for third party liabilities and expenses arising from vessel operations. The Company’s marine fleet is insured on a pro rata share basis through UK P&amp;I and the NorthStandard P&amp;I Club. The Company paid $3.7 million during 2025 in premiums for coverage in the 2025-2026 policy period, $3.6 million during 2024 in premiums for coverage in the 2024-2025 policy period, and $3.6 million in 2023 in premiums for coverage in the 2023-2024 policy period in the ordinary course of business.</w:t>
      </w:r>
    </w:p>
    <w:p>
      <w:pPr>
        <w:spacing w:after="0" w:line="160" w:lineRule="exact"/>
        <w:rPr>
          <w:sz w:val="20"/>
          <w:szCs w:val="20"/>
          <w:color w:val="auto"/>
        </w:rPr>
      </w:pPr>
    </w:p>
    <w:p>
      <w:pPr>
        <w:jc w:val="both"/>
        <w:ind w:right="20" w:firstLine="355"/>
        <w:spacing w:after="0" w:line="278" w:lineRule="auto"/>
        <w:rPr>
          <w:sz w:val="20"/>
          <w:szCs w:val="20"/>
          <w:color w:val="auto"/>
        </w:rPr>
      </w:pPr>
      <w:r>
        <w:rPr>
          <w:rFonts w:ascii="Times New Roman" w:cs="Times New Roman" w:eastAsia="Times New Roman" w:hAnsi="Times New Roman"/>
          <w:sz w:val="20"/>
          <w:szCs w:val="20"/>
          <w:color w:val="auto"/>
        </w:rPr>
        <w:t>Amy D. Husted, Executive Vice President, General Counsel and Secretary of the Company, is a member of the board of directors of Signal Mutual Indemnity Association Ltd (“Signal”), a group self-insurance not-for-profit organization authorized by the U.S.</w:t>
      </w:r>
    </w:p>
    <w:p>
      <w:pPr>
        <w:sectPr>
          <w:pgSz w:w="12240" w:h="15840" w:orient="portrait"/>
          <w:cols w:equalWidth="0" w:num="1">
            <w:col w:w="10820"/>
          </w:cols>
          <w:pgMar w:left="720" w:top="930" w:right="700" w:bottom="175" w:gutter="0" w:footer="0" w:header="0"/>
        </w:sect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20"/>
          </w:cols>
          <w:pgMar w:left="720" w:top="930" w:right="700" w:bottom="175" w:gutter="0" w:footer="0" w:header="0"/>
          <w:type w:val="continuous"/>
        </w:sectPr>
      </w:pPr>
    </w:p>
    <w:bookmarkStart w:id="90" w:name="page91"/>
    <w:bookmarkEnd w:id="90"/>
    <w:p>
      <w:pPr>
        <w:jc w:val="both"/>
        <w:spacing w:after="0" w:line="258" w:lineRule="auto"/>
        <w:rPr>
          <w:sz w:val="20"/>
          <w:szCs w:val="20"/>
          <w:color w:val="auto"/>
        </w:rPr>
      </w:pPr>
      <w:r>
        <w:rPr>
          <w:rFonts w:ascii="Times New Roman" w:cs="Times New Roman" w:eastAsia="Times New Roman" w:hAnsi="Times New Roman"/>
          <w:sz w:val="20"/>
          <w:szCs w:val="20"/>
          <w:color w:val="auto"/>
        </w:rPr>
        <w:t>Department of Labor as a longshore worker’s compensation insurance provider. The Company has been a member of Signal since it was established in 1986. The Company paid Signal $0.5 million in 2025, $0.6 million in 2024 and $0.7 million in 2023 in the ordinary course of business.</w:t>
      </w:r>
    </w:p>
    <w:p>
      <w:pPr>
        <w:spacing w:after="0" w:line="14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husband of Ms. Husted is a former partner in the law firm of Clark Hill PLC. Mr. Husted left the law firm in October 2025 and no longer has any affiliation with the law firm. The Company paid the law firm $ 0.8 million in 2025, $2.6 million in 2024, and $0.9 million in 2023 for legal services in connection with matters in the ordinary course of business.</w:t>
      </w:r>
    </w:p>
    <w:p>
      <w:pPr>
        <w:spacing w:after="0" w:line="146" w:lineRule="exact"/>
        <w:rPr>
          <w:sz w:val="20"/>
          <w:szCs w:val="20"/>
          <w:color w:val="auto"/>
        </w:rPr>
      </w:pPr>
    </w:p>
    <w:p>
      <w:pPr>
        <w:jc w:val="both"/>
        <w:ind w:firstLine="358"/>
        <w:spacing w:after="0" w:line="258" w:lineRule="auto"/>
        <w:rPr>
          <w:sz w:val="20"/>
          <w:szCs w:val="20"/>
          <w:color w:val="auto"/>
        </w:rPr>
      </w:pPr>
      <w:r>
        <w:rPr>
          <w:rFonts w:ascii="Times New Roman" w:cs="Times New Roman" w:eastAsia="Times New Roman" w:hAnsi="Times New Roman"/>
          <w:sz w:val="20"/>
          <w:szCs w:val="20"/>
          <w:color w:val="auto"/>
        </w:rPr>
        <w:t>The brother of Christian G. O’Neil, President and Chief Operating Officer, is a partner in the law firm of W. Sean O’Neil Attorney at Law. The Company paid the law firm $0.3 million in 2025, $0.2 million in 2024, and $0.1 million in 2023 for legal services in the ordinary course of business.</w:t>
      </w:r>
    </w:p>
    <w:p>
      <w:pPr>
        <w:sectPr>
          <w:pgSz w:w="12240" w:h="15840" w:orient="portrait"/>
          <w:cols w:equalWidth="0" w:num="1">
            <w:col w:w="10800"/>
          </w:cols>
          <w:pgMar w:left="720" w:top="930"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10800"/>
          </w:cols>
          <w:pgMar w:left="720" w:top="930" w:right="720" w:bottom="187"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and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Statement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Included in Part III of this report on pages 50 to 79:</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(KPMG LLP, Houston, TX, PCAOB ID 185).</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ind w:left="360"/>
        <w:spacing w:after="0"/>
        <w:rPr>
          <w:sz w:val="20"/>
          <w:szCs w:val="20"/>
          <w:color w:val="auto"/>
        </w:rPr>
      </w:pPr>
      <w:r>
        <w:rPr>
          <w:rFonts w:ascii="Times New Roman" w:cs="Times New Roman" w:eastAsia="Times New Roman" w:hAnsi="Times New Roman"/>
          <w:sz w:val="20"/>
          <w:szCs w:val="20"/>
          <w:color w:val="auto"/>
        </w:rPr>
        <w:t>Consolidated Balance Sheets, December 31, 2025 and 2024.</w:t>
      </w:r>
    </w:p>
    <w:p>
      <w:pPr>
        <w:ind w:left="360"/>
        <w:spacing w:after="0"/>
        <w:rPr>
          <w:sz w:val="20"/>
          <w:szCs w:val="20"/>
          <w:color w:val="auto"/>
        </w:rPr>
      </w:pPr>
      <w:r>
        <w:rPr>
          <w:rFonts w:ascii="Times New Roman" w:cs="Times New Roman" w:eastAsia="Times New Roman" w:hAnsi="Times New Roman"/>
          <w:sz w:val="20"/>
          <w:szCs w:val="20"/>
          <w:color w:val="auto"/>
        </w:rPr>
        <w:t>Consolidated Statements of Earnings, for the years ended December 31, 2025, 2024, and 2023.</w:t>
      </w:r>
    </w:p>
    <w:p>
      <w:pPr>
        <w:ind w:left="360"/>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2025, 2024, and 2023.</w:t>
      </w:r>
    </w:p>
    <w:p>
      <w:pPr>
        <w:ind w:left="36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p>
    <w:p>
      <w:pPr>
        <w:ind w:left="360"/>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2025, 2024, and 2023.</w:t>
      </w:r>
    </w:p>
    <w:p>
      <w:pPr>
        <w:ind w:left="360"/>
        <w:spacing w:after="0"/>
        <w:rPr>
          <w:sz w:val="20"/>
          <w:szCs w:val="20"/>
          <w:color w:val="auto"/>
        </w:rPr>
      </w:pPr>
      <w:r>
        <w:rPr>
          <w:rFonts w:ascii="Times New Roman" w:cs="Times New Roman" w:eastAsia="Times New Roman" w:hAnsi="Times New Roman"/>
          <w:sz w:val="20"/>
          <w:szCs w:val="20"/>
          <w:color w:val="auto"/>
        </w:rPr>
        <w:t>Notes to Consolidated Financial Statements, for the years ended December 31, 2025,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Schedules</w:t>
      </w:r>
    </w:p>
    <w:p>
      <w:pPr>
        <w:spacing w:after="0" w:line="200" w:lineRule="exact"/>
        <w:rPr>
          <w:sz w:val="20"/>
          <w:szCs w:val="20"/>
          <w:color w:val="auto"/>
        </w:rPr>
      </w:pPr>
    </w:p>
    <w:p>
      <w:pPr>
        <w:ind w:left="20" w:hanging="7"/>
        <w:spacing w:after="0" w:line="278" w:lineRule="auto"/>
        <w:rPr>
          <w:sz w:val="20"/>
          <w:szCs w:val="20"/>
          <w:color w:val="auto"/>
        </w:rPr>
      </w:pPr>
      <w:r>
        <w:rPr>
          <w:rFonts w:ascii="Times New Roman" w:cs="Times New Roman" w:eastAsia="Times New Roman" w:hAnsi="Times New Roman"/>
          <w:sz w:val="20"/>
          <w:szCs w:val="20"/>
          <w:color w:val="auto"/>
        </w:rPr>
        <w:t>All schedules are omitted as the required information is inapplicable or the information is presented in the consolidated financial statements or related notes.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i w:val="1"/>
          <w:iCs w:val="1"/>
          <w:color w:val="auto"/>
        </w:rPr>
        <w:t>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23"/>
                <w:szCs w:val="23"/>
                <w:color w:val="auto"/>
              </w:rPr>
            </w:pPr>
          </w:p>
        </w:tc>
        <w:tc>
          <w:tcPr>
            <w:tcW w:w="2750" w:type="dxa"/>
            <w:vAlign w:val="bottom"/>
          </w:tcPr>
          <w:p>
            <w:pPr>
              <w:spacing w:after="0"/>
              <w:rPr>
                <w:sz w:val="23"/>
                <w:szCs w:val="23"/>
                <w:color w:val="auto"/>
              </w:rPr>
            </w:pPr>
          </w:p>
        </w:tc>
        <w:tc>
          <w:tcPr>
            <w:tcW w:w="6750" w:type="dxa"/>
            <w:vAlign w:val="bottom"/>
            <w:gridSpan w:val="4"/>
          </w:tcPr>
          <w:p>
            <w:pPr>
              <w:ind w:left="57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44"/>
        </w:trPr>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75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5"/>
                <w:szCs w:val="5"/>
                <w:color w:val="auto"/>
              </w:rPr>
            </w:pPr>
          </w:p>
        </w:tc>
        <w:tc>
          <w:tcPr>
            <w:tcW w:w="2750" w:type="dxa"/>
            <w:vAlign w:val="bottom"/>
            <w:vMerge w:val="restart"/>
          </w:tcPr>
          <w:p>
            <w:pPr>
              <w:spacing w:after="0"/>
              <w:rPr>
                <w:sz w:val="5"/>
                <w:szCs w:val="5"/>
                <w:color w:val="auto"/>
              </w:rPr>
            </w:pPr>
          </w:p>
        </w:tc>
        <w:tc>
          <w:tcPr>
            <w:tcW w:w="1020" w:type="dxa"/>
            <w:vAlign w:val="bottom"/>
            <w:vMerge w:val="restart"/>
          </w:tcPr>
          <w:p>
            <w:pPr>
              <w:spacing w:after="0"/>
              <w:rPr>
                <w:sz w:val="5"/>
                <w:szCs w:val="5"/>
                <w:color w:val="auto"/>
              </w:rPr>
            </w:pPr>
          </w:p>
        </w:tc>
        <w:tc>
          <w:tcPr>
            <w:tcW w:w="230" w:type="dxa"/>
            <w:vAlign w:val="bottom"/>
            <w:vMerge w:val="restart"/>
          </w:tcPr>
          <w:p>
            <w:pPr>
              <w:spacing w:after="0"/>
              <w:rPr>
                <w:sz w:val="5"/>
                <w:szCs w:val="5"/>
                <w:color w:val="auto"/>
              </w:rPr>
            </w:pPr>
          </w:p>
        </w:tc>
        <w:tc>
          <w:tcPr>
            <w:tcW w:w="1500" w:type="dxa"/>
            <w:vAlign w:val="bottom"/>
          </w:tcPr>
          <w:p>
            <w:pPr>
              <w:spacing w:after="0"/>
              <w:rPr>
                <w:sz w:val="5"/>
                <w:szCs w:val="5"/>
                <w:color w:val="auto"/>
              </w:rPr>
            </w:pPr>
          </w:p>
        </w:tc>
        <w:tc>
          <w:tcPr>
            <w:tcW w:w="40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EAEAEA"/>
            </w:tcBorders>
          </w:tcPr>
          <w:p>
            <w:pPr>
              <w:spacing w:after="0"/>
              <w:rPr>
                <w:sz w:val="12"/>
                <w:szCs w:val="12"/>
                <w:color w:val="auto"/>
              </w:rPr>
            </w:pPr>
          </w:p>
        </w:tc>
        <w:tc>
          <w:tcPr>
            <w:tcW w:w="275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30" w:type="dxa"/>
            <w:vAlign w:val="bottom"/>
            <w:tcBorders>
              <w:bottom w:val="single" w:sz="8" w:color="auto"/>
            </w:tcBorders>
            <w:vMerge w:val="continue"/>
          </w:tcPr>
          <w:p>
            <w:pPr>
              <w:spacing w:after="0"/>
              <w:rPr>
                <w:sz w:val="12"/>
                <w:szCs w:val="12"/>
                <w:color w:val="auto"/>
              </w:rPr>
            </w:pPr>
          </w:p>
        </w:tc>
        <w:tc>
          <w:tcPr>
            <w:tcW w:w="150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7"/>
              </w:rPr>
              <w:t>Description of Exhibit</w:t>
            </w:r>
          </w:p>
        </w:tc>
        <w:tc>
          <w:tcPr>
            <w:tcW w:w="4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EAEAEA"/>
          </w:tcPr>
          <w:p>
            <w:pPr>
              <w:spacing w:after="0" w:line="180" w:lineRule="exact"/>
              <w:rPr>
                <w:sz w:val="20"/>
                <w:szCs w:val="20"/>
                <w:color w:val="auto"/>
              </w:rPr>
            </w:pPr>
            <w:r>
              <w:rPr>
                <w:rFonts w:ascii="Times New Roman" w:cs="Times New Roman" w:eastAsia="Times New Roman" w:hAnsi="Times New Roman"/>
                <w:sz w:val="20"/>
                <w:szCs w:val="20"/>
                <w:color w:val="auto"/>
                <w:shd w:val="clear" w:color="auto" w:fill="EAEAEA"/>
              </w:rPr>
              <w:t>3.1</w:t>
            </w:r>
          </w:p>
        </w:tc>
        <w:tc>
          <w:tcPr>
            <w:tcW w:w="320" w:type="dxa"/>
            <w:vAlign w:val="bottom"/>
            <w:shd w:val="clear" w:color="auto" w:fill="EAEAEA"/>
          </w:tcPr>
          <w:p>
            <w:pPr>
              <w:spacing w:after="0"/>
              <w:rPr>
                <w:sz w:val="15"/>
                <w:szCs w:val="15"/>
                <w:color w:val="auto"/>
              </w:rPr>
            </w:pPr>
          </w:p>
        </w:tc>
        <w:tc>
          <w:tcPr>
            <w:tcW w:w="9500" w:type="dxa"/>
            <w:vAlign w:val="bottom"/>
            <w:gridSpan w:val="5"/>
            <w:shd w:val="clear" w:color="auto" w:fill="EAEAEA"/>
          </w:tcPr>
          <w:p>
            <w:pPr>
              <w:spacing w:after="0" w:line="180" w:lineRule="exact"/>
              <w:rPr>
                <w:sz w:val="20"/>
                <w:szCs w:val="20"/>
                <w:color w:val="auto"/>
              </w:rPr>
            </w:pPr>
            <w:r>
              <w:rPr>
                <w:rFonts w:ascii="Times New Roman" w:cs="Times New Roman" w:eastAsia="Times New Roman" w:hAnsi="Times New Roman"/>
                <w:sz w:val="20"/>
                <w:szCs w:val="20"/>
                <w:color w:val="auto"/>
                <w:shd w:val="clear" w:color="auto" w:fill="EAEAEA"/>
              </w:rPr>
              <w:t>Restated Articles of Incorporation of the Company with all amendments to date (incorporated by reference to Exhibit</w:t>
            </w:r>
          </w:p>
        </w:tc>
        <w:tc>
          <w:tcPr>
            <w:tcW w:w="0" w:type="dxa"/>
            <w:vAlign w:val="bottom"/>
          </w:tcPr>
          <w:p>
            <w:pPr>
              <w:spacing w:after="0"/>
              <w:rPr>
                <w:sz w:val="1"/>
                <w:szCs w:val="1"/>
                <w:color w:val="auto"/>
              </w:rPr>
            </w:pPr>
          </w:p>
        </w:tc>
      </w:tr>
      <w:tr>
        <w:trPr>
          <w:trHeight w:val="271"/>
        </w:trPr>
        <w:tc>
          <w:tcPr>
            <w:tcW w:w="980" w:type="dxa"/>
            <w:vAlign w:val="bottom"/>
            <w:shd w:val="clear" w:color="auto" w:fill="EAEAEA"/>
          </w:tcPr>
          <w:p>
            <w:pPr>
              <w:spacing w:after="0"/>
              <w:rPr>
                <w:sz w:val="23"/>
                <w:szCs w:val="23"/>
                <w:color w:val="auto"/>
              </w:rPr>
            </w:pPr>
          </w:p>
        </w:tc>
        <w:tc>
          <w:tcPr>
            <w:tcW w:w="320" w:type="dxa"/>
            <w:vAlign w:val="bottom"/>
            <w:shd w:val="clear" w:color="auto" w:fill="EAEAEA"/>
          </w:tcPr>
          <w:p>
            <w:pPr>
              <w:spacing w:after="0"/>
              <w:rPr>
                <w:sz w:val="23"/>
                <w:szCs w:val="23"/>
                <w:color w:val="auto"/>
              </w:rPr>
            </w:pPr>
          </w:p>
        </w:tc>
        <w:tc>
          <w:tcPr>
            <w:tcW w:w="9500" w:type="dxa"/>
            <w:vAlign w:val="bottom"/>
            <w:gridSpan w:val="5"/>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3.1 to the Registrant’s Annual Report on Form 10-K for the year ended December 31, 2014).</w:t>
            </w:r>
          </w:p>
        </w:tc>
        <w:tc>
          <w:tcPr>
            <w:tcW w:w="0" w:type="dxa"/>
            <w:vAlign w:val="bottom"/>
          </w:tcPr>
          <w:p>
            <w:pPr>
              <w:spacing w:after="0"/>
              <w:rPr>
                <w:sz w:val="1"/>
                <w:szCs w:val="1"/>
                <w:color w:val="auto"/>
              </w:rPr>
            </w:pPr>
          </w:p>
        </w:tc>
      </w:tr>
      <w:tr>
        <w:trPr>
          <w:trHeight w:val="210"/>
        </w:trPr>
        <w:tc>
          <w:tcPr>
            <w:tcW w:w="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3.2</w:t>
            </w:r>
          </w:p>
        </w:tc>
        <w:tc>
          <w:tcPr>
            <w:tcW w:w="320" w:type="dxa"/>
            <w:vAlign w:val="bottom"/>
          </w:tcPr>
          <w:p>
            <w:pPr>
              <w:spacing w:after="0"/>
              <w:rPr>
                <w:sz w:val="18"/>
                <w:szCs w:val="18"/>
                <w:color w:val="auto"/>
              </w:rPr>
            </w:pPr>
          </w:p>
        </w:tc>
        <w:tc>
          <w:tcPr>
            <w:tcW w:w="95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Bylaws of the Company, as amended to April 25, 2024 (incorporated by reference to Exhibit 3.1 to the Registrant’s</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Current Report on Form 8-K filed with the Commission on October 28, 2022).</w:t>
            </w:r>
          </w:p>
        </w:tc>
        <w:tc>
          <w:tcPr>
            <w:tcW w:w="0" w:type="dxa"/>
            <w:vAlign w:val="bottom"/>
          </w:tcPr>
          <w:p>
            <w:pPr>
              <w:spacing w:after="0"/>
              <w:rPr>
                <w:sz w:val="1"/>
                <w:szCs w:val="1"/>
                <w:color w:val="auto"/>
              </w:rPr>
            </w:pPr>
          </w:p>
        </w:tc>
      </w:tr>
      <w:tr>
        <w:trPr>
          <w:trHeight w:val="189"/>
        </w:trPr>
        <w:tc>
          <w:tcPr>
            <w:tcW w:w="980" w:type="dxa"/>
            <w:vAlign w:val="bottom"/>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3.3</w:t>
            </w:r>
          </w:p>
        </w:tc>
        <w:tc>
          <w:tcPr>
            <w:tcW w:w="320" w:type="dxa"/>
            <w:vAlign w:val="bottom"/>
            <w:shd w:val="clear" w:color="auto" w:fill="EAEAEA"/>
          </w:tcPr>
          <w:p>
            <w:pPr>
              <w:spacing w:after="0"/>
              <w:rPr>
                <w:sz w:val="16"/>
                <w:szCs w:val="16"/>
                <w:color w:val="auto"/>
              </w:rPr>
            </w:pPr>
          </w:p>
        </w:tc>
        <w:tc>
          <w:tcPr>
            <w:tcW w:w="9500" w:type="dxa"/>
            <w:vAlign w:val="bottom"/>
            <w:gridSpan w:val="5"/>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Amendment to Bylaws of Kirby Corporation dated April 26, 2024 (incorporated by reference to Exhibit 3.2 to the</w:t>
            </w:r>
          </w:p>
        </w:tc>
        <w:tc>
          <w:tcPr>
            <w:tcW w:w="0" w:type="dxa"/>
            <w:vAlign w:val="bottom"/>
          </w:tcPr>
          <w:p>
            <w:pPr>
              <w:spacing w:after="0"/>
              <w:rPr>
                <w:sz w:val="1"/>
                <w:szCs w:val="1"/>
                <w:color w:val="auto"/>
              </w:rPr>
            </w:pPr>
          </w:p>
        </w:tc>
      </w:tr>
      <w:tr>
        <w:trPr>
          <w:trHeight w:val="271"/>
        </w:trPr>
        <w:tc>
          <w:tcPr>
            <w:tcW w:w="980" w:type="dxa"/>
            <w:vAlign w:val="bottom"/>
            <w:shd w:val="clear" w:color="auto" w:fill="EAEAEA"/>
          </w:tcPr>
          <w:p>
            <w:pPr>
              <w:spacing w:after="0"/>
              <w:rPr>
                <w:sz w:val="23"/>
                <w:szCs w:val="23"/>
                <w:color w:val="auto"/>
              </w:rPr>
            </w:pPr>
          </w:p>
        </w:tc>
        <w:tc>
          <w:tcPr>
            <w:tcW w:w="320" w:type="dxa"/>
            <w:vAlign w:val="bottom"/>
            <w:shd w:val="clear" w:color="auto" w:fill="EAEAEA"/>
          </w:tcPr>
          <w:p>
            <w:pPr>
              <w:spacing w:after="0"/>
              <w:rPr>
                <w:sz w:val="23"/>
                <w:szCs w:val="23"/>
                <w:color w:val="auto"/>
              </w:rPr>
            </w:pPr>
          </w:p>
        </w:tc>
        <w:tc>
          <w:tcPr>
            <w:tcW w:w="9500" w:type="dxa"/>
            <w:vAlign w:val="bottom"/>
            <w:gridSpan w:val="5"/>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Registrant’s Current Report on Form 8-K filed with the Commission on April 26, 2024).</w:t>
            </w:r>
          </w:p>
        </w:tc>
        <w:tc>
          <w:tcPr>
            <w:tcW w:w="0" w:type="dxa"/>
            <w:vAlign w:val="bottom"/>
          </w:tcPr>
          <w:p>
            <w:pPr>
              <w:spacing w:after="0"/>
              <w:rPr>
                <w:sz w:val="1"/>
                <w:szCs w:val="1"/>
                <w:color w:val="auto"/>
              </w:rPr>
            </w:pPr>
          </w:p>
        </w:tc>
      </w:tr>
      <w:tr>
        <w:trPr>
          <w:trHeight w:val="210"/>
        </w:trPr>
        <w:tc>
          <w:tcPr>
            <w:tcW w:w="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4.1</w:t>
            </w:r>
          </w:p>
        </w:tc>
        <w:tc>
          <w:tcPr>
            <w:tcW w:w="320" w:type="dxa"/>
            <w:vAlign w:val="bottom"/>
          </w:tcPr>
          <w:p>
            <w:pPr>
              <w:spacing w:after="0"/>
              <w:rPr>
                <w:sz w:val="18"/>
                <w:szCs w:val="18"/>
                <w:color w:val="auto"/>
              </w:rPr>
            </w:pPr>
          </w:p>
        </w:tc>
        <w:tc>
          <w:tcPr>
            <w:tcW w:w="95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See Exhibits 3.1, 3.2 and 3.3 hereof for provisions of the Restated Articles of Incorporation of the Company with all</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amendments to date and the Bylaws of the Company with all amendments to date (incorporated, respectively, by</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reference to Exhibit 3.1 to the Registrant’s Annual Report on Form 10-K for the year ended December 31, 2014,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Exhibit 3.1 to the Registrant’s Current Report on Form 8-K filed with the Commission on October 28, 2022, and</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Exhibit 3.2 to the Registrant’s Current Report on Form 8-K filed with the Commission on April 26, 2024).</w:t>
            </w:r>
          </w:p>
        </w:tc>
        <w:tc>
          <w:tcPr>
            <w:tcW w:w="0" w:type="dxa"/>
            <w:vAlign w:val="bottom"/>
          </w:tcPr>
          <w:p>
            <w:pPr>
              <w:spacing w:after="0"/>
              <w:rPr>
                <w:sz w:val="1"/>
                <w:szCs w:val="1"/>
                <w:color w:val="auto"/>
              </w:rPr>
            </w:pPr>
          </w:p>
        </w:tc>
      </w:tr>
      <w:tr>
        <w:trPr>
          <w:trHeight w:val="189"/>
        </w:trPr>
        <w:tc>
          <w:tcPr>
            <w:tcW w:w="980" w:type="dxa"/>
            <w:vAlign w:val="bottom"/>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4.2</w:t>
            </w:r>
          </w:p>
        </w:tc>
        <w:tc>
          <w:tcPr>
            <w:tcW w:w="320" w:type="dxa"/>
            <w:vAlign w:val="bottom"/>
            <w:shd w:val="clear" w:color="auto" w:fill="EAEAEA"/>
          </w:tcPr>
          <w:p>
            <w:pPr>
              <w:spacing w:after="0"/>
              <w:rPr>
                <w:sz w:val="16"/>
                <w:szCs w:val="16"/>
                <w:color w:val="auto"/>
              </w:rPr>
            </w:pPr>
          </w:p>
        </w:tc>
        <w:tc>
          <w:tcPr>
            <w:tcW w:w="9500" w:type="dxa"/>
            <w:vAlign w:val="bottom"/>
            <w:gridSpan w:val="5"/>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Long-term debt instruments are omitted pursuant to Item 601(b)(4) of Regulation S-K. The Registrant will furnish</w:t>
            </w:r>
          </w:p>
        </w:tc>
        <w:tc>
          <w:tcPr>
            <w:tcW w:w="0" w:type="dxa"/>
            <w:vAlign w:val="bottom"/>
          </w:tcPr>
          <w:p>
            <w:pPr>
              <w:spacing w:after="0"/>
              <w:rPr>
                <w:sz w:val="1"/>
                <w:szCs w:val="1"/>
                <w:color w:val="auto"/>
              </w:rPr>
            </w:pPr>
          </w:p>
        </w:tc>
      </w:tr>
      <w:tr>
        <w:trPr>
          <w:trHeight w:val="271"/>
        </w:trPr>
        <w:tc>
          <w:tcPr>
            <w:tcW w:w="980" w:type="dxa"/>
            <w:vAlign w:val="bottom"/>
            <w:shd w:val="clear" w:color="auto" w:fill="EAEAEA"/>
          </w:tcPr>
          <w:p>
            <w:pPr>
              <w:spacing w:after="0"/>
              <w:rPr>
                <w:sz w:val="23"/>
                <w:szCs w:val="23"/>
                <w:color w:val="auto"/>
              </w:rPr>
            </w:pPr>
          </w:p>
        </w:tc>
        <w:tc>
          <w:tcPr>
            <w:tcW w:w="320" w:type="dxa"/>
            <w:vAlign w:val="bottom"/>
            <w:shd w:val="clear" w:color="auto" w:fill="EAEAEA"/>
          </w:tcPr>
          <w:p>
            <w:pPr>
              <w:spacing w:after="0"/>
              <w:rPr>
                <w:sz w:val="23"/>
                <w:szCs w:val="23"/>
                <w:color w:val="auto"/>
              </w:rPr>
            </w:pPr>
          </w:p>
        </w:tc>
        <w:tc>
          <w:tcPr>
            <w:tcW w:w="5500" w:type="dxa"/>
            <w:vAlign w:val="bottom"/>
            <w:gridSpan w:val="4"/>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copies of such instruments to the Commission upon request.</w:t>
            </w:r>
          </w:p>
        </w:tc>
        <w:tc>
          <w:tcPr>
            <w:tcW w:w="4000" w:type="dxa"/>
            <w:vAlign w:val="bottom"/>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10.1</w:t>
            </w:r>
          </w:p>
        </w:tc>
        <w:tc>
          <w:tcPr>
            <w:tcW w:w="320" w:type="dxa"/>
            <w:vAlign w:val="bottom"/>
          </w:tcPr>
          <w:p>
            <w:pPr>
              <w:spacing w:after="0"/>
              <w:rPr>
                <w:sz w:val="18"/>
                <w:szCs w:val="18"/>
                <w:color w:val="auto"/>
              </w:rPr>
            </w:pPr>
          </w:p>
        </w:tc>
        <w:tc>
          <w:tcPr>
            <w:tcW w:w="95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Credit Agreement dated July 29, 2022 among Kirby Corporation, JPMorgan Chase Bank, N.A., as Administrative</w:t>
            </w:r>
          </w:p>
        </w:tc>
        <w:tc>
          <w:tcPr>
            <w:tcW w:w="0" w:type="dxa"/>
            <w:vAlign w:val="bottom"/>
          </w:tcPr>
          <w:p>
            <w:pPr>
              <w:spacing w:after="0"/>
              <w:rPr>
                <w:sz w:val="1"/>
                <w:szCs w:val="1"/>
                <w:color w:val="auto"/>
              </w:rPr>
            </w:pPr>
          </w:p>
        </w:tc>
      </w:tr>
      <w:tr>
        <w:trPr>
          <w:trHeight w:val="231"/>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Agent, and the banks named therein (incorporated by reference to Exhibit 10.1 to the Registrant’s Current Report on</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Form 8-K filed with the Commission on July 29, 2022).</w:t>
            </w:r>
          </w:p>
        </w:tc>
        <w:tc>
          <w:tcPr>
            <w:tcW w:w="0" w:type="dxa"/>
            <w:vAlign w:val="bottom"/>
          </w:tcPr>
          <w:p>
            <w:pPr>
              <w:spacing w:after="0"/>
              <w:rPr>
                <w:sz w:val="1"/>
                <w:szCs w:val="1"/>
                <w:color w:val="auto"/>
              </w:rPr>
            </w:pPr>
          </w:p>
        </w:tc>
      </w:tr>
      <w:tr>
        <w:trPr>
          <w:trHeight w:val="228"/>
        </w:trPr>
        <w:tc>
          <w:tcPr>
            <w:tcW w:w="980" w:type="dxa"/>
            <w:vAlign w:val="bottom"/>
            <w:shd w:val="clear" w:color="auto" w:fill="EAEAEA"/>
          </w:tcPr>
          <w:p>
            <w:pPr>
              <w:ind w:left="20"/>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10.2†</w:t>
            </w:r>
          </w:p>
        </w:tc>
        <w:tc>
          <w:tcPr>
            <w:tcW w:w="320" w:type="dxa"/>
            <w:vAlign w:val="bottom"/>
            <w:shd w:val="clear" w:color="auto" w:fill="EAEAEA"/>
          </w:tcPr>
          <w:p>
            <w:pPr>
              <w:spacing w:after="0"/>
              <w:rPr>
                <w:sz w:val="19"/>
                <w:szCs w:val="19"/>
                <w:color w:val="auto"/>
              </w:rPr>
            </w:pPr>
          </w:p>
        </w:tc>
        <w:tc>
          <w:tcPr>
            <w:tcW w:w="9500" w:type="dxa"/>
            <w:vAlign w:val="bottom"/>
            <w:gridSpan w:val="5"/>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Annual Incentive Plan Guidelines for 2025 (incorporated by reference to Exhibit 10.5 to the Registrant’s Annual</w:t>
            </w:r>
          </w:p>
        </w:tc>
        <w:tc>
          <w:tcPr>
            <w:tcW w:w="0" w:type="dxa"/>
            <w:vAlign w:val="bottom"/>
          </w:tcPr>
          <w:p>
            <w:pPr>
              <w:spacing w:after="0"/>
              <w:rPr>
                <w:sz w:val="1"/>
                <w:szCs w:val="1"/>
                <w:color w:val="auto"/>
              </w:rPr>
            </w:pP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5500" w:type="dxa"/>
            <w:vAlign w:val="bottom"/>
            <w:gridSpan w:val="4"/>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Report on Form 10-K for the year ended December 31, 2024).</w:t>
            </w:r>
          </w:p>
        </w:tc>
        <w:tc>
          <w:tcPr>
            <w:tcW w:w="40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320" w:type="dxa"/>
            <w:vAlign w:val="bottom"/>
          </w:tcPr>
          <w:p>
            <w:pPr>
              <w:spacing w:after="0"/>
              <w:rPr>
                <w:sz w:val="20"/>
                <w:szCs w:val="20"/>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Annual Incentive Plan Guidelines for 2026.</w:t>
            </w:r>
          </w:p>
        </w:tc>
        <w:tc>
          <w:tcPr>
            <w:tcW w:w="0" w:type="dxa"/>
            <w:vAlign w:val="bottom"/>
          </w:tcPr>
          <w:p>
            <w:pPr>
              <w:spacing w:after="0"/>
              <w:rPr>
                <w:sz w:val="1"/>
                <w:szCs w:val="1"/>
                <w:color w:val="auto"/>
              </w:rPr>
            </w:pPr>
          </w:p>
        </w:tc>
      </w:tr>
      <w:tr>
        <w:trPr>
          <w:trHeight w:val="228"/>
        </w:trPr>
        <w:tc>
          <w:tcPr>
            <w:tcW w:w="980" w:type="dxa"/>
            <w:vAlign w:val="bottom"/>
            <w:shd w:val="clear" w:color="auto" w:fill="EAEAEA"/>
          </w:tcPr>
          <w:p>
            <w:pPr>
              <w:ind w:left="20"/>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10.4†</w:t>
            </w:r>
          </w:p>
        </w:tc>
        <w:tc>
          <w:tcPr>
            <w:tcW w:w="320" w:type="dxa"/>
            <w:vAlign w:val="bottom"/>
            <w:shd w:val="clear" w:color="auto" w:fill="EAEAEA"/>
          </w:tcPr>
          <w:p>
            <w:pPr>
              <w:spacing w:after="0"/>
              <w:rPr>
                <w:sz w:val="19"/>
                <w:szCs w:val="19"/>
                <w:color w:val="auto"/>
              </w:rPr>
            </w:pPr>
          </w:p>
        </w:tc>
        <w:tc>
          <w:tcPr>
            <w:tcW w:w="9500" w:type="dxa"/>
            <w:vAlign w:val="bottom"/>
            <w:gridSpan w:val="5"/>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2005 Stock and Incentive Plan (incorporated by reference to Exhibit 10.1 to the Registrant’s Current Report on Form</w:t>
            </w:r>
          </w:p>
        </w:tc>
        <w:tc>
          <w:tcPr>
            <w:tcW w:w="0" w:type="dxa"/>
            <w:vAlign w:val="bottom"/>
          </w:tcPr>
          <w:p>
            <w:pPr>
              <w:spacing w:after="0"/>
              <w:rPr>
                <w:sz w:val="1"/>
                <w:szCs w:val="1"/>
                <w:color w:val="auto"/>
              </w:rPr>
            </w:pP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5500" w:type="dxa"/>
            <w:vAlign w:val="bottom"/>
            <w:gridSpan w:val="4"/>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8-K filed with the Commission on April 29, 2021).</w:t>
            </w:r>
          </w:p>
        </w:tc>
        <w:tc>
          <w:tcPr>
            <w:tcW w:w="40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10.5†</w:t>
            </w:r>
          </w:p>
        </w:tc>
        <w:tc>
          <w:tcPr>
            <w:tcW w:w="320" w:type="dxa"/>
            <w:vAlign w:val="bottom"/>
          </w:tcPr>
          <w:p>
            <w:pPr>
              <w:spacing w:after="0"/>
              <w:rPr>
                <w:sz w:val="18"/>
                <w:szCs w:val="18"/>
                <w:color w:val="auto"/>
              </w:rPr>
            </w:pPr>
          </w:p>
        </w:tc>
        <w:tc>
          <w:tcPr>
            <w:tcW w:w="95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2000 Nonemployee Director Stock Plan (incorporated by reference to Exhibit 10.2 to the Registrant’s Current Report</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on Form 8-K filed with the Commission on April 29, 2021).</w:t>
            </w:r>
          </w:p>
        </w:tc>
        <w:tc>
          <w:tcPr>
            <w:tcW w:w="0" w:type="dxa"/>
            <w:vAlign w:val="bottom"/>
          </w:tcPr>
          <w:p>
            <w:pPr>
              <w:spacing w:after="0"/>
              <w:rPr>
                <w:sz w:val="1"/>
                <w:szCs w:val="1"/>
                <w:color w:val="auto"/>
              </w:rPr>
            </w:pPr>
          </w:p>
        </w:tc>
      </w:tr>
      <w:tr>
        <w:trPr>
          <w:trHeight w:val="228"/>
        </w:trPr>
        <w:tc>
          <w:tcPr>
            <w:tcW w:w="980" w:type="dxa"/>
            <w:vAlign w:val="bottom"/>
            <w:shd w:val="clear" w:color="auto" w:fill="EAEAEA"/>
          </w:tcPr>
          <w:p>
            <w:pPr>
              <w:ind w:left="20"/>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10.6†</w:t>
            </w:r>
          </w:p>
        </w:tc>
        <w:tc>
          <w:tcPr>
            <w:tcW w:w="320" w:type="dxa"/>
            <w:vAlign w:val="bottom"/>
            <w:shd w:val="clear" w:color="auto" w:fill="EAEAEA"/>
          </w:tcPr>
          <w:p>
            <w:pPr>
              <w:spacing w:after="0"/>
              <w:rPr>
                <w:sz w:val="19"/>
                <w:szCs w:val="19"/>
                <w:color w:val="auto"/>
              </w:rPr>
            </w:pPr>
          </w:p>
        </w:tc>
        <w:tc>
          <w:tcPr>
            <w:tcW w:w="9500" w:type="dxa"/>
            <w:vAlign w:val="bottom"/>
            <w:gridSpan w:val="5"/>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Nonemployee Director Compensation Program effective April 24, 2018 (incorporated by reference to Exhibit 10.2 to</w:t>
            </w:r>
          </w:p>
        </w:tc>
        <w:tc>
          <w:tcPr>
            <w:tcW w:w="0" w:type="dxa"/>
            <w:vAlign w:val="bottom"/>
          </w:tcPr>
          <w:p>
            <w:pPr>
              <w:spacing w:after="0"/>
              <w:rPr>
                <w:sz w:val="1"/>
                <w:szCs w:val="1"/>
                <w:color w:val="auto"/>
              </w:rPr>
            </w:pP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9500" w:type="dxa"/>
            <w:vAlign w:val="bottom"/>
            <w:gridSpan w:val="5"/>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the Registrant’s Quarterly Report on Form 10-Q for the quarter ended March 31, 2018).</w:t>
            </w:r>
          </w:p>
        </w:tc>
        <w:tc>
          <w:tcPr>
            <w:tcW w:w="0" w:type="dxa"/>
            <w:vAlign w:val="bottom"/>
          </w:tcPr>
          <w:p>
            <w:pPr>
              <w:spacing w:after="0"/>
              <w:rPr>
                <w:sz w:val="1"/>
                <w:szCs w:val="1"/>
                <w:color w:val="auto"/>
              </w:rPr>
            </w:pPr>
          </w:p>
        </w:tc>
      </w:tr>
      <w:tr>
        <w:trPr>
          <w:trHeight w:val="210"/>
        </w:trPr>
        <w:tc>
          <w:tcPr>
            <w:tcW w:w="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10.7†</w:t>
            </w:r>
          </w:p>
        </w:tc>
        <w:tc>
          <w:tcPr>
            <w:tcW w:w="320" w:type="dxa"/>
            <w:vAlign w:val="bottom"/>
          </w:tcPr>
          <w:p>
            <w:pPr>
              <w:spacing w:after="0"/>
              <w:rPr>
                <w:sz w:val="18"/>
                <w:szCs w:val="18"/>
                <w:color w:val="auto"/>
              </w:rPr>
            </w:pPr>
          </w:p>
        </w:tc>
        <w:tc>
          <w:tcPr>
            <w:tcW w:w="95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Nonemployee Director Compensation Program effective January 29, 2024 (incorporated by reference to Exhibit 10.11</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to the Registrant’s Annual Report on Form 10-K for the year ended December 31, 2023).</w:t>
            </w:r>
          </w:p>
        </w:tc>
        <w:tc>
          <w:tcPr>
            <w:tcW w:w="0" w:type="dxa"/>
            <w:vAlign w:val="bottom"/>
          </w:tcPr>
          <w:p>
            <w:pPr>
              <w:spacing w:after="0"/>
              <w:rPr>
                <w:sz w:val="1"/>
                <w:szCs w:val="1"/>
                <w:color w:val="auto"/>
              </w:rPr>
            </w:pPr>
          </w:p>
        </w:tc>
      </w:tr>
      <w:tr>
        <w:trPr>
          <w:trHeight w:val="228"/>
        </w:trPr>
        <w:tc>
          <w:tcPr>
            <w:tcW w:w="980" w:type="dxa"/>
            <w:vAlign w:val="bottom"/>
            <w:shd w:val="clear" w:color="auto" w:fill="EAEAEA"/>
          </w:tcPr>
          <w:p>
            <w:pPr>
              <w:ind w:left="20"/>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10.8†</w:t>
            </w:r>
          </w:p>
        </w:tc>
        <w:tc>
          <w:tcPr>
            <w:tcW w:w="320" w:type="dxa"/>
            <w:vAlign w:val="bottom"/>
            <w:shd w:val="clear" w:color="auto" w:fill="EAEAEA"/>
          </w:tcPr>
          <w:p>
            <w:pPr>
              <w:spacing w:after="0"/>
              <w:rPr>
                <w:sz w:val="19"/>
                <w:szCs w:val="19"/>
                <w:color w:val="auto"/>
              </w:rPr>
            </w:pPr>
          </w:p>
        </w:tc>
        <w:tc>
          <w:tcPr>
            <w:tcW w:w="9500" w:type="dxa"/>
            <w:vAlign w:val="bottom"/>
            <w:gridSpan w:val="5"/>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Deferred Compensation Plan for Key Employees (As Amended and Restated Effective April 1, 2022 and incorporated</w:t>
            </w:r>
          </w:p>
        </w:tc>
        <w:tc>
          <w:tcPr>
            <w:tcW w:w="0" w:type="dxa"/>
            <w:vAlign w:val="bottom"/>
          </w:tcPr>
          <w:p>
            <w:pPr>
              <w:spacing w:after="0"/>
              <w:rPr>
                <w:sz w:val="1"/>
                <w:szCs w:val="1"/>
                <w:color w:val="auto"/>
              </w:rPr>
            </w:pP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275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by reference to Exhibit 10.3 to the</w:t>
            </w:r>
          </w:p>
        </w:tc>
        <w:tc>
          <w:tcPr>
            <w:tcW w:w="1020" w:type="dxa"/>
            <w:vAlign w:val="bottom"/>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Registrant’s</w:t>
            </w:r>
          </w:p>
        </w:tc>
        <w:tc>
          <w:tcPr>
            <w:tcW w:w="5730" w:type="dxa"/>
            <w:vAlign w:val="bottom"/>
            <w:gridSpan w:val="3"/>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Quarterly Report on Form 10-Q filed with the Commission on May 9,</w:t>
            </w:r>
          </w:p>
        </w:tc>
        <w:tc>
          <w:tcPr>
            <w:tcW w:w="0" w:type="dxa"/>
            <w:vAlign w:val="bottom"/>
          </w:tcPr>
          <w:p>
            <w:pPr>
              <w:spacing w:after="0"/>
              <w:rPr>
                <w:sz w:val="1"/>
                <w:szCs w:val="1"/>
                <w:color w:val="auto"/>
              </w:rPr>
            </w:pPr>
          </w:p>
        </w:tc>
      </w:tr>
      <w:tr>
        <w:trPr>
          <w:trHeight w:val="230"/>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275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2022).</w:t>
            </w:r>
          </w:p>
        </w:tc>
        <w:tc>
          <w:tcPr>
            <w:tcW w:w="1020" w:type="dxa"/>
            <w:vAlign w:val="bottom"/>
            <w:shd w:val="clear" w:color="auto" w:fill="EAEAEA"/>
          </w:tcPr>
          <w:p>
            <w:pPr>
              <w:spacing w:after="0"/>
              <w:rPr>
                <w:sz w:val="20"/>
                <w:szCs w:val="20"/>
                <w:color w:val="auto"/>
              </w:rPr>
            </w:pPr>
          </w:p>
        </w:tc>
        <w:tc>
          <w:tcPr>
            <w:tcW w:w="230" w:type="dxa"/>
            <w:vAlign w:val="bottom"/>
            <w:shd w:val="clear" w:color="auto" w:fill="EAEAEA"/>
          </w:tcPr>
          <w:p>
            <w:pPr>
              <w:spacing w:after="0"/>
              <w:rPr>
                <w:sz w:val="20"/>
                <w:szCs w:val="20"/>
                <w:color w:val="auto"/>
              </w:rPr>
            </w:pPr>
          </w:p>
        </w:tc>
        <w:tc>
          <w:tcPr>
            <w:tcW w:w="1500" w:type="dxa"/>
            <w:vAlign w:val="bottom"/>
            <w:shd w:val="clear" w:color="auto" w:fill="EAEAEA"/>
          </w:tcPr>
          <w:p>
            <w:pPr>
              <w:spacing w:after="0"/>
              <w:rPr>
                <w:sz w:val="20"/>
                <w:szCs w:val="20"/>
                <w:color w:val="auto"/>
              </w:rPr>
            </w:pPr>
          </w:p>
        </w:tc>
        <w:tc>
          <w:tcPr>
            <w:tcW w:w="40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10.9†</w:t>
            </w:r>
          </w:p>
        </w:tc>
        <w:tc>
          <w:tcPr>
            <w:tcW w:w="320" w:type="dxa"/>
            <w:vAlign w:val="bottom"/>
          </w:tcPr>
          <w:p>
            <w:pPr>
              <w:spacing w:after="0"/>
              <w:rPr>
                <w:sz w:val="18"/>
                <w:szCs w:val="18"/>
                <w:color w:val="auto"/>
              </w:rPr>
            </w:pPr>
          </w:p>
        </w:tc>
        <w:tc>
          <w:tcPr>
            <w:tcW w:w="95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Change of Control Agreement by and between Kirby Corporation and David W. Grzebinski dated May 16,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(incorporated by reference to Exhibit 10.1 to the Registrant’s Current Report on Form 8-K filed with the Commission</w:t>
            </w:r>
          </w:p>
        </w:tc>
        <w:tc>
          <w:tcPr>
            <w:tcW w:w="0" w:type="dxa"/>
            <w:vAlign w:val="bottom"/>
          </w:tcPr>
          <w:p>
            <w:pPr>
              <w:spacing w:after="0"/>
              <w:rPr>
                <w:sz w:val="1"/>
                <w:szCs w:val="1"/>
                <w:color w:val="auto"/>
              </w:rPr>
            </w:pPr>
          </w:p>
        </w:tc>
      </w:tr>
      <w:tr>
        <w:trPr>
          <w:trHeight w:val="267"/>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on May 20,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9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2240" w:h="15840" w:orient="portrait"/>
          <w:cols w:equalWidth="0" w:num="1">
            <w:col w:w="10800"/>
          </w:cols>
          <w:pgMar w:left="720" w:top="926" w:right="720" w:bottom="199"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275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3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Borders>
              <w:bottom w:val="single" w:sz="8" w:color="EAEAEA"/>
            </w:tcBorders>
          </w:tcPr>
          <w:p>
            <w:pPr>
              <w:spacing w:after="0"/>
              <w:rPr>
                <w:sz w:val="17"/>
                <w:szCs w:val="17"/>
                <w:color w:val="auto"/>
              </w:rPr>
            </w:pPr>
          </w:p>
        </w:tc>
        <w:tc>
          <w:tcPr>
            <w:tcW w:w="275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10" w:type="dxa"/>
            <w:vAlign w:val="bottom"/>
            <w:tcBorders>
              <w:bottom w:val="single" w:sz="8" w:color="auto"/>
            </w:tcBorders>
            <w:gridSpan w:val="7"/>
          </w:tcPr>
          <w:p>
            <w:pPr>
              <w:jc w:val="right"/>
              <w:ind w:right="39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218"/>
        </w:trPr>
        <w:tc>
          <w:tcPr>
            <w:tcW w:w="980" w:type="dxa"/>
            <w:vAlign w:val="bottom"/>
            <w:shd w:val="clear" w:color="auto" w:fill="EAEAEA"/>
          </w:tcPr>
          <w:p>
            <w:pPr>
              <w:jc w:val="right"/>
              <w:ind w:right="342"/>
              <w:spacing w:after="0" w:line="218" w:lineRule="exact"/>
              <w:rPr>
                <w:sz w:val="20"/>
                <w:szCs w:val="20"/>
                <w:color w:val="auto"/>
              </w:rPr>
            </w:pPr>
            <w:r>
              <w:rPr>
                <w:rFonts w:ascii="Times New Roman" w:cs="Times New Roman" w:eastAsia="Times New Roman" w:hAnsi="Times New Roman"/>
                <w:sz w:val="20"/>
                <w:szCs w:val="20"/>
                <w:color w:val="auto"/>
                <w:w w:val="94"/>
                <w:shd w:val="clear" w:color="auto" w:fill="EAEAEA"/>
              </w:rPr>
              <w:t>10.10†</w:t>
            </w:r>
          </w:p>
        </w:tc>
        <w:tc>
          <w:tcPr>
            <w:tcW w:w="320" w:type="dxa"/>
            <w:vAlign w:val="bottom"/>
            <w:shd w:val="clear" w:color="auto" w:fill="EAEAEA"/>
          </w:tcPr>
          <w:p>
            <w:pPr>
              <w:spacing w:after="0"/>
              <w:rPr>
                <w:sz w:val="18"/>
                <w:szCs w:val="18"/>
                <w:color w:val="auto"/>
              </w:rPr>
            </w:pPr>
          </w:p>
        </w:tc>
        <w:tc>
          <w:tcPr>
            <w:tcW w:w="9500" w:type="dxa"/>
            <w:vAlign w:val="bottom"/>
            <w:gridSpan w:val="10"/>
            <w:shd w:val="clear" w:color="auto" w:fill="EAEAEA"/>
          </w:tcPr>
          <w:p>
            <w:pPr>
              <w:spacing w:after="0" w:line="218" w:lineRule="exact"/>
              <w:rPr>
                <w:sz w:val="20"/>
                <w:szCs w:val="20"/>
                <w:color w:val="auto"/>
              </w:rPr>
            </w:pPr>
            <w:r>
              <w:rPr>
                <w:rFonts w:ascii="Times New Roman" w:cs="Times New Roman" w:eastAsia="Times New Roman" w:hAnsi="Times New Roman"/>
                <w:sz w:val="20"/>
                <w:szCs w:val="20"/>
                <w:color w:val="auto"/>
                <w:shd w:val="clear" w:color="auto" w:fill="EAEAEA"/>
              </w:rPr>
              <w:t>Change of Control Agreement by and between Kirby Corporation and Raj Kumar dated May 16, 2022 (incorporated</w:t>
            </w: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275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by reference to Exhibit 10.2 to the</w:t>
            </w:r>
          </w:p>
        </w:tc>
        <w:tc>
          <w:tcPr>
            <w:tcW w:w="1020" w:type="dxa"/>
            <w:vAlign w:val="bottom"/>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Registrant’s</w:t>
            </w:r>
          </w:p>
        </w:tc>
        <w:tc>
          <w:tcPr>
            <w:tcW w:w="5730" w:type="dxa"/>
            <w:vAlign w:val="bottom"/>
            <w:gridSpan w:val="8"/>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w w:val="99"/>
                <w:shd w:val="clear" w:color="auto" w:fill="EAEAEA"/>
              </w:rPr>
              <w:t>Current Report on Form 8-K filed with the Commission on May 20,</w:t>
            </w:r>
          </w:p>
        </w:tc>
      </w:tr>
      <w:tr>
        <w:trPr>
          <w:trHeight w:val="230"/>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275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2022).</w:t>
            </w:r>
          </w:p>
        </w:tc>
        <w:tc>
          <w:tcPr>
            <w:tcW w:w="10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8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243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r>
      <w:tr>
        <w:trPr>
          <w:trHeight w:val="210"/>
        </w:trPr>
        <w:tc>
          <w:tcPr>
            <w:tcW w:w="980" w:type="dxa"/>
            <w:vAlign w:val="bottom"/>
          </w:tcPr>
          <w:p>
            <w:pPr>
              <w:jc w:val="right"/>
              <w:ind w:right="342"/>
              <w:spacing w:after="0" w:line="209" w:lineRule="exact"/>
              <w:rPr>
                <w:sz w:val="20"/>
                <w:szCs w:val="20"/>
                <w:color w:val="auto"/>
              </w:rPr>
            </w:pPr>
            <w:r>
              <w:rPr>
                <w:rFonts w:ascii="Times New Roman" w:cs="Times New Roman" w:eastAsia="Times New Roman" w:hAnsi="Times New Roman"/>
                <w:sz w:val="20"/>
                <w:szCs w:val="20"/>
                <w:color w:val="auto"/>
                <w:w w:val="94"/>
              </w:rPr>
              <w:t>10.11†</w:t>
            </w:r>
          </w:p>
        </w:tc>
        <w:tc>
          <w:tcPr>
            <w:tcW w:w="320" w:type="dxa"/>
            <w:vAlign w:val="bottom"/>
          </w:tcPr>
          <w:p>
            <w:pPr>
              <w:spacing w:after="0"/>
              <w:rPr>
                <w:sz w:val="18"/>
                <w:szCs w:val="18"/>
                <w:color w:val="auto"/>
              </w:rPr>
            </w:pPr>
          </w:p>
        </w:tc>
        <w:tc>
          <w:tcPr>
            <w:tcW w:w="950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Change of Control Agreement by and between Kirby Corporation and Christian G. O’Neil dated May 16, 2022</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(incorporated by reference to Exhibit 10.3 to the Registrant’s Current Report on Form 8-K filed with the Commission</w:t>
            </w: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on May 20, 2022).</w:t>
            </w:r>
          </w:p>
        </w:tc>
      </w:tr>
      <w:tr>
        <w:trPr>
          <w:trHeight w:val="228"/>
        </w:trPr>
        <w:tc>
          <w:tcPr>
            <w:tcW w:w="980" w:type="dxa"/>
            <w:vAlign w:val="bottom"/>
            <w:shd w:val="clear" w:color="auto" w:fill="EAEAEA"/>
          </w:tcPr>
          <w:p>
            <w:pPr>
              <w:jc w:val="right"/>
              <w:ind w:right="342"/>
              <w:spacing w:after="0" w:line="228" w:lineRule="exact"/>
              <w:rPr>
                <w:sz w:val="20"/>
                <w:szCs w:val="20"/>
                <w:color w:val="auto"/>
              </w:rPr>
            </w:pPr>
            <w:r>
              <w:rPr>
                <w:rFonts w:ascii="Times New Roman" w:cs="Times New Roman" w:eastAsia="Times New Roman" w:hAnsi="Times New Roman"/>
                <w:sz w:val="20"/>
                <w:szCs w:val="20"/>
                <w:color w:val="auto"/>
                <w:w w:val="94"/>
                <w:shd w:val="clear" w:color="auto" w:fill="EAEAEA"/>
              </w:rPr>
              <w:t>10.12†</w:t>
            </w:r>
          </w:p>
        </w:tc>
        <w:tc>
          <w:tcPr>
            <w:tcW w:w="320" w:type="dxa"/>
            <w:vAlign w:val="bottom"/>
            <w:shd w:val="clear" w:color="auto" w:fill="EAEAEA"/>
          </w:tcPr>
          <w:p>
            <w:pPr>
              <w:spacing w:after="0"/>
              <w:rPr>
                <w:sz w:val="19"/>
                <w:szCs w:val="19"/>
                <w:color w:val="auto"/>
              </w:rPr>
            </w:pPr>
          </w:p>
        </w:tc>
        <w:tc>
          <w:tcPr>
            <w:tcW w:w="8560" w:type="dxa"/>
            <w:vAlign w:val="bottom"/>
            <w:gridSpan w:val="9"/>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w w:val="99"/>
                <w:shd w:val="clear" w:color="auto" w:fill="EAEAEA"/>
              </w:rPr>
              <w:t>Change of Control Agreement by and between Kirby Corporation and Amy D. Husted dated May 16, 2022</w:t>
            </w:r>
          </w:p>
        </w:tc>
        <w:tc>
          <w:tcPr>
            <w:tcW w:w="940" w:type="dxa"/>
            <w:vAlign w:val="bottom"/>
            <w:shd w:val="clear" w:color="auto" w:fill="EAEAEA"/>
          </w:tcPr>
          <w:p>
            <w:pPr>
              <w:spacing w:after="0"/>
              <w:rPr>
                <w:sz w:val="19"/>
                <w:szCs w:val="19"/>
                <w:color w:val="auto"/>
              </w:rPr>
            </w:pP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389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(incorporated by reference to Exhibit 10.4 to the</w:t>
            </w:r>
          </w:p>
        </w:tc>
        <w:tc>
          <w:tcPr>
            <w:tcW w:w="1020" w:type="dxa"/>
            <w:vAlign w:val="bottom"/>
            <w:gridSpan w:val="2"/>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Registrant’s</w:t>
            </w:r>
          </w:p>
        </w:tc>
        <w:tc>
          <w:tcPr>
            <w:tcW w:w="3650" w:type="dxa"/>
            <w:vAlign w:val="bottom"/>
            <w:gridSpan w:val="4"/>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Current Report on Form 8-K filed with the</w:t>
            </w: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81"/>
                <w:shd w:val="clear" w:color="auto" w:fill="EAEAEA"/>
              </w:rPr>
              <w:t>Commission</w:t>
            </w:r>
          </w:p>
        </w:tc>
      </w:tr>
      <w:tr>
        <w:trPr>
          <w:trHeight w:val="231"/>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275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on May 20, 2022).</w:t>
            </w:r>
          </w:p>
        </w:tc>
        <w:tc>
          <w:tcPr>
            <w:tcW w:w="10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8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243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r>
      <w:tr>
        <w:trPr>
          <w:trHeight w:val="210"/>
        </w:trPr>
        <w:tc>
          <w:tcPr>
            <w:tcW w:w="980" w:type="dxa"/>
            <w:vAlign w:val="bottom"/>
          </w:tcPr>
          <w:p>
            <w:pPr>
              <w:jc w:val="right"/>
              <w:ind w:right="342"/>
              <w:spacing w:after="0" w:line="209" w:lineRule="exact"/>
              <w:rPr>
                <w:sz w:val="20"/>
                <w:szCs w:val="20"/>
                <w:color w:val="auto"/>
              </w:rPr>
            </w:pPr>
            <w:r>
              <w:rPr>
                <w:rFonts w:ascii="Times New Roman" w:cs="Times New Roman" w:eastAsia="Times New Roman" w:hAnsi="Times New Roman"/>
                <w:sz w:val="20"/>
                <w:szCs w:val="20"/>
                <w:color w:val="auto"/>
                <w:w w:val="94"/>
              </w:rPr>
              <w:t>10.13†</w:t>
            </w:r>
          </w:p>
        </w:tc>
        <w:tc>
          <w:tcPr>
            <w:tcW w:w="320" w:type="dxa"/>
            <w:vAlign w:val="bottom"/>
          </w:tcPr>
          <w:p>
            <w:pPr>
              <w:spacing w:after="0"/>
              <w:rPr>
                <w:sz w:val="18"/>
                <w:szCs w:val="18"/>
                <w:color w:val="auto"/>
              </w:rPr>
            </w:pPr>
          </w:p>
        </w:tc>
        <w:tc>
          <w:tcPr>
            <w:tcW w:w="950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Change of Control Agreement by and between Kirby Corporation and Scott P. Miller dated May 16, 2022</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(incorporated by reference to Exhibit 10.15 to the Registrant’s Annual Report on Form 10-K for the year ended</w:t>
            </w: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December 31, 2024).</w:t>
            </w:r>
          </w:p>
        </w:tc>
      </w:tr>
      <w:tr>
        <w:trPr>
          <w:trHeight w:val="228"/>
        </w:trPr>
        <w:tc>
          <w:tcPr>
            <w:tcW w:w="980" w:type="dxa"/>
            <w:vAlign w:val="bottom"/>
            <w:shd w:val="clear" w:color="auto" w:fill="EAEAEA"/>
          </w:tcPr>
          <w:p>
            <w:pPr>
              <w:jc w:val="right"/>
              <w:ind w:right="342"/>
              <w:spacing w:after="0" w:line="228" w:lineRule="exact"/>
              <w:rPr>
                <w:sz w:val="20"/>
                <w:szCs w:val="20"/>
                <w:color w:val="auto"/>
              </w:rPr>
            </w:pPr>
            <w:r>
              <w:rPr>
                <w:rFonts w:ascii="Times New Roman" w:cs="Times New Roman" w:eastAsia="Times New Roman" w:hAnsi="Times New Roman"/>
                <w:sz w:val="20"/>
                <w:szCs w:val="20"/>
                <w:color w:val="auto"/>
                <w:w w:val="94"/>
                <w:shd w:val="clear" w:color="auto" w:fill="EAEAEA"/>
              </w:rPr>
              <w:t>10.14†</w:t>
            </w:r>
          </w:p>
        </w:tc>
        <w:tc>
          <w:tcPr>
            <w:tcW w:w="320" w:type="dxa"/>
            <w:vAlign w:val="bottom"/>
            <w:shd w:val="clear" w:color="auto" w:fill="EAEAEA"/>
          </w:tcPr>
          <w:p>
            <w:pPr>
              <w:spacing w:after="0"/>
              <w:rPr>
                <w:sz w:val="19"/>
                <w:szCs w:val="19"/>
                <w:color w:val="auto"/>
              </w:rPr>
            </w:pPr>
          </w:p>
        </w:tc>
        <w:tc>
          <w:tcPr>
            <w:tcW w:w="9500" w:type="dxa"/>
            <w:vAlign w:val="bottom"/>
            <w:gridSpan w:val="10"/>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Amendment to Change of Control Agreement by and between Kirby Corporation and David W. Grzebinski dated</w:t>
            </w: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5110" w:type="dxa"/>
            <w:vAlign w:val="bottom"/>
            <w:gridSpan w:val="6"/>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March 6, 2023 (incorporated by reference to Exhibit 10.4 to the</w:t>
            </w:r>
          </w:p>
        </w:tc>
        <w:tc>
          <w:tcPr>
            <w:tcW w:w="1020" w:type="dxa"/>
            <w:vAlign w:val="bottom"/>
            <w:gridSpan w:val="2"/>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Registrant’s</w:t>
            </w:r>
          </w:p>
        </w:tc>
        <w:tc>
          <w:tcPr>
            <w:tcW w:w="3370" w:type="dxa"/>
            <w:vAlign w:val="bottom"/>
            <w:gridSpan w:val="2"/>
            <w:shd w:val="clear" w:color="auto" w:fill="EAEAEA"/>
          </w:tcPr>
          <w:p>
            <w:pPr>
              <w:jc w:val="right"/>
              <w:ind w:right="320"/>
              <w:spacing w:after="0"/>
              <w:rPr>
                <w:sz w:val="20"/>
                <w:szCs w:val="20"/>
                <w:color w:val="auto"/>
              </w:rPr>
            </w:pPr>
            <w:r>
              <w:rPr>
                <w:rFonts w:ascii="Times New Roman" w:cs="Times New Roman" w:eastAsia="Times New Roman" w:hAnsi="Times New Roman"/>
                <w:sz w:val="20"/>
                <w:szCs w:val="20"/>
                <w:color w:val="auto"/>
                <w:w w:val="98"/>
                <w:shd w:val="clear" w:color="auto" w:fill="EAEAEA"/>
              </w:rPr>
              <w:t>Quarterly Report on Form 10-Q filed</w:t>
            </w:r>
          </w:p>
        </w:tc>
      </w:tr>
      <w:tr>
        <w:trPr>
          <w:trHeight w:val="230"/>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377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with the Commission on May 8, 2023).</w:t>
            </w:r>
          </w:p>
        </w:tc>
        <w:tc>
          <w:tcPr>
            <w:tcW w:w="960" w:type="dxa"/>
            <w:vAlign w:val="bottom"/>
            <w:gridSpan w:val="2"/>
            <w:shd w:val="clear" w:color="auto" w:fill="EAEAEA"/>
          </w:tcPr>
          <w:p>
            <w:pPr>
              <w:spacing w:after="0"/>
              <w:rPr>
                <w:sz w:val="20"/>
                <w:szCs w:val="20"/>
                <w:color w:val="auto"/>
              </w:rPr>
            </w:pPr>
          </w:p>
        </w:tc>
        <w:tc>
          <w:tcPr>
            <w:tcW w:w="380" w:type="dxa"/>
            <w:vAlign w:val="bottom"/>
            <w:gridSpan w:val="2"/>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243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r>
      <w:tr>
        <w:trPr>
          <w:trHeight w:val="210"/>
        </w:trPr>
        <w:tc>
          <w:tcPr>
            <w:tcW w:w="980" w:type="dxa"/>
            <w:vAlign w:val="bottom"/>
          </w:tcPr>
          <w:p>
            <w:pPr>
              <w:jc w:val="right"/>
              <w:ind w:right="342"/>
              <w:spacing w:after="0" w:line="209" w:lineRule="exact"/>
              <w:rPr>
                <w:sz w:val="20"/>
                <w:szCs w:val="20"/>
                <w:color w:val="auto"/>
              </w:rPr>
            </w:pPr>
            <w:r>
              <w:rPr>
                <w:rFonts w:ascii="Times New Roman" w:cs="Times New Roman" w:eastAsia="Times New Roman" w:hAnsi="Times New Roman"/>
                <w:sz w:val="20"/>
                <w:szCs w:val="20"/>
                <w:color w:val="auto"/>
                <w:w w:val="94"/>
              </w:rPr>
              <w:t>10.15†</w:t>
            </w:r>
          </w:p>
        </w:tc>
        <w:tc>
          <w:tcPr>
            <w:tcW w:w="320" w:type="dxa"/>
            <w:vAlign w:val="bottom"/>
          </w:tcPr>
          <w:p>
            <w:pPr>
              <w:spacing w:after="0"/>
              <w:rPr>
                <w:sz w:val="18"/>
                <w:szCs w:val="18"/>
                <w:color w:val="auto"/>
              </w:rPr>
            </w:pPr>
          </w:p>
        </w:tc>
        <w:tc>
          <w:tcPr>
            <w:tcW w:w="950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w w:val="99"/>
              </w:rPr>
              <w:t>Amendment to Change of Control Agreement by and between Kirby Corporation and Raj Kumar dated March 6, 2023</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(incorporated by reference to Exhibit 10.5 to the Registrant’s Quarterly Report on Form 10-Q filed with the</w:t>
            </w: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Commission on May 8, 2023).</w:t>
            </w:r>
          </w:p>
        </w:tc>
      </w:tr>
      <w:tr>
        <w:trPr>
          <w:trHeight w:val="228"/>
        </w:trPr>
        <w:tc>
          <w:tcPr>
            <w:tcW w:w="980" w:type="dxa"/>
            <w:vAlign w:val="bottom"/>
            <w:shd w:val="clear" w:color="auto" w:fill="EAEAEA"/>
          </w:tcPr>
          <w:p>
            <w:pPr>
              <w:jc w:val="right"/>
              <w:ind w:right="342"/>
              <w:spacing w:after="0" w:line="228" w:lineRule="exact"/>
              <w:rPr>
                <w:sz w:val="20"/>
                <w:szCs w:val="20"/>
                <w:color w:val="auto"/>
              </w:rPr>
            </w:pPr>
            <w:r>
              <w:rPr>
                <w:rFonts w:ascii="Times New Roman" w:cs="Times New Roman" w:eastAsia="Times New Roman" w:hAnsi="Times New Roman"/>
                <w:sz w:val="20"/>
                <w:szCs w:val="20"/>
                <w:color w:val="auto"/>
                <w:w w:val="94"/>
                <w:shd w:val="clear" w:color="auto" w:fill="EAEAEA"/>
              </w:rPr>
              <w:t>10.16†</w:t>
            </w:r>
          </w:p>
        </w:tc>
        <w:tc>
          <w:tcPr>
            <w:tcW w:w="320" w:type="dxa"/>
            <w:vAlign w:val="bottom"/>
            <w:shd w:val="clear" w:color="auto" w:fill="EAEAEA"/>
          </w:tcPr>
          <w:p>
            <w:pPr>
              <w:spacing w:after="0"/>
              <w:rPr>
                <w:sz w:val="19"/>
                <w:szCs w:val="19"/>
                <w:color w:val="auto"/>
              </w:rPr>
            </w:pPr>
          </w:p>
        </w:tc>
        <w:tc>
          <w:tcPr>
            <w:tcW w:w="9500" w:type="dxa"/>
            <w:vAlign w:val="bottom"/>
            <w:gridSpan w:val="10"/>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Amendment to Change of Control Agreement by and between Kirby Corporation and Christian G. O’Neil dated</w:t>
            </w: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5110" w:type="dxa"/>
            <w:vAlign w:val="bottom"/>
            <w:gridSpan w:val="6"/>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March 6, 2023 (incorporated by reference to Exhibit 10.6 to the</w:t>
            </w:r>
          </w:p>
        </w:tc>
        <w:tc>
          <w:tcPr>
            <w:tcW w:w="1020" w:type="dxa"/>
            <w:vAlign w:val="bottom"/>
            <w:gridSpan w:val="2"/>
            <w:shd w:val="clear" w:color="auto" w:fill="EAEAEA"/>
          </w:tcPr>
          <w:p>
            <w:pPr>
              <w:ind w:left="30"/>
              <w:spacing w:after="0"/>
              <w:rPr>
                <w:sz w:val="20"/>
                <w:szCs w:val="20"/>
                <w:color w:val="auto"/>
              </w:rPr>
            </w:pPr>
            <w:r>
              <w:rPr>
                <w:rFonts w:ascii="Times New Roman" w:cs="Times New Roman" w:eastAsia="Times New Roman" w:hAnsi="Times New Roman"/>
                <w:sz w:val="20"/>
                <w:szCs w:val="20"/>
                <w:color w:val="auto"/>
                <w:shd w:val="clear" w:color="auto" w:fill="EAEAEA"/>
              </w:rPr>
              <w:t>Registrant’s</w:t>
            </w:r>
          </w:p>
        </w:tc>
        <w:tc>
          <w:tcPr>
            <w:tcW w:w="3370" w:type="dxa"/>
            <w:vAlign w:val="bottom"/>
            <w:gridSpan w:val="2"/>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w w:val="99"/>
                <w:shd w:val="clear" w:color="auto" w:fill="EAEAEA"/>
              </w:rPr>
              <w:t>Quarterly Report on Form 10-Q filed</w:t>
            </w:r>
          </w:p>
        </w:tc>
      </w:tr>
      <w:tr>
        <w:trPr>
          <w:trHeight w:val="230"/>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377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with the Commission on May 8, 2023).</w:t>
            </w:r>
          </w:p>
        </w:tc>
        <w:tc>
          <w:tcPr>
            <w:tcW w:w="960" w:type="dxa"/>
            <w:vAlign w:val="bottom"/>
            <w:gridSpan w:val="2"/>
            <w:shd w:val="clear" w:color="auto" w:fill="EAEAEA"/>
          </w:tcPr>
          <w:p>
            <w:pPr>
              <w:spacing w:after="0"/>
              <w:rPr>
                <w:sz w:val="20"/>
                <w:szCs w:val="20"/>
                <w:color w:val="auto"/>
              </w:rPr>
            </w:pPr>
          </w:p>
        </w:tc>
        <w:tc>
          <w:tcPr>
            <w:tcW w:w="380" w:type="dxa"/>
            <w:vAlign w:val="bottom"/>
            <w:gridSpan w:val="2"/>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243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r>
      <w:tr>
        <w:trPr>
          <w:trHeight w:val="210"/>
        </w:trPr>
        <w:tc>
          <w:tcPr>
            <w:tcW w:w="980" w:type="dxa"/>
            <w:vAlign w:val="bottom"/>
          </w:tcPr>
          <w:p>
            <w:pPr>
              <w:jc w:val="right"/>
              <w:ind w:right="342"/>
              <w:spacing w:after="0" w:line="209" w:lineRule="exact"/>
              <w:rPr>
                <w:sz w:val="20"/>
                <w:szCs w:val="20"/>
                <w:color w:val="auto"/>
              </w:rPr>
            </w:pPr>
            <w:r>
              <w:rPr>
                <w:rFonts w:ascii="Times New Roman" w:cs="Times New Roman" w:eastAsia="Times New Roman" w:hAnsi="Times New Roman"/>
                <w:sz w:val="20"/>
                <w:szCs w:val="20"/>
                <w:color w:val="auto"/>
                <w:w w:val="94"/>
              </w:rPr>
              <w:t>10.17†</w:t>
            </w:r>
          </w:p>
        </w:tc>
        <w:tc>
          <w:tcPr>
            <w:tcW w:w="320" w:type="dxa"/>
            <w:vAlign w:val="bottom"/>
          </w:tcPr>
          <w:p>
            <w:pPr>
              <w:spacing w:after="0"/>
              <w:rPr>
                <w:sz w:val="18"/>
                <w:szCs w:val="18"/>
                <w:color w:val="auto"/>
              </w:rPr>
            </w:pPr>
          </w:p>
        </w:tc>
        <w:tc>
          <w:tcPr>
            <w:tcW w:w="950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Amendment to Change of Control Agreement by and between Kirby Corporation and Amy D. Husted dated January</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29, 2025 (incorporated by reference to Exhibit 10.19 to the Registrant’s Annual Report on Form 10-K for the year</w:t>
            </w: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ended December 31, 2024).</w:t>
            </w:r>
          </w:p>
        </w:tc>
      </w:tr>
      <w:tr>
        <w:trPr>
          <w:trHeight w:val="228"/>
        </w:trPr>
        <w:tc>
          <w:tcPr>
            <w:tcW w:w="980" w:type="dxa"/>
            <w:vAlign w:val="bottom"/>
            <w:shd w:val="clear" w:color="auto" w:fill="EAEAEA"/>
          </w:tcPr>
          <w:p>
            <w:pPr>
              <w:jc w:val="right"/>
              <w:ind w:right="342"/>
              <w:spacing w:after="0" w:line="228" w:lineRule="exact"/>
              <w:rPr>
                <w:sz w:val="20"/>
                <w:szCs w:val="20"/>
                <w:color w:val="auto"/>
              </w:rPr>
            </w:pPr>
            <w:r>
              <w:rPr>
                <w:rFonts w:ascii="Times New Roman" w:cs="Times New Roman" w:eastAsia="Times New Roman" w:hAnsi="Times New Roman"/>
                <w:sz w:val="20"/>
                <w:szCs w:val="20"/>
                <w:color w:val="auto"/>
                <w:w w:val="94"/>
                <w:shd w:val="clear" w:color="auto" w:fill="EAEAEA"/>
              </w:rPr>
              <w:t>10.18†</w:t>
            </w:r>
          </w:p>
        </w:tc>
        <w:tc>
          <w:tcPr>
            <w:tcW w:w="320" w:type="dxa"/>
            <w:vAlign w:val="bottom"/>
            <w:shd w:val="clear" w:color="auto" w:fill="EAEAEA"/>
          </w:tcPr>
          <w:p>
            <w:pPr>
              <w:spacing w:after="0"/>
              <w:rPr>
                <w:sz w:val="19"/>
                <w:szCs w:val="19"/>
                <w:color w:val="auto"/>
              </w:rPr>
            </w:pPr>
          </w:p>
        </w:tc>
        <w:tc>
          <w:tcPr>
            <w:tcW w:w="9500" w:type="dxa"/>
            <w:vAlign w:val="bottom"/>
            <w:gridSpan w:val="10"/>
            <w:shd w:val="clear" w:color="auto" w:fill="EAEAEA"/>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EAEAEA"/>
              </w:rPr>
              <w:t>Amendment to Change of Control Agreement by and between Kirby Corporation and Scott P. Miller dated January</w:t>
            </w:r>
          </w:p>
        </w:tc>
      </w:tr>
      <w:tr>
        <w:trPr>
          <w:trHeight w:val="232"/>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4730" w:type="dxa"/>
            <w:vAlign w:val="bottom"/>
            <w:gridSpan w:val="4"/>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29, 2025 (incorporated by reference to Exhibit 10.20 to the</w:t>
            </w:r>
          </w:p>
        </w:tc>
        <w:tc>
          <w:tcPr>
            <w:tcW w:w="1020" w:type="dxa"/>
            <w:vAlign w:val="bottom"/>
            <w:gridSpan w:val="3"/>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EAEAEA"/>
              </w:rPr>
              <w:t>Registrant’s</w:t>
            </w:r>
          </w:p>
        </w:tc>
        <w:tc>
          <w:tcPr>
            <w:tcW w:w="3750" w:type="dxa"/>
            <w:vAlign w:val="bottom"/>
            <w:gridSpan w:val="3"/>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w w:val="99"/>
                <w:shd w:val="clear" w:color="auto" w:fill="EAEAEA"/>
              </w:rPr>
              <w:t>Annual Report on Form 10-K for the year</w:t>
            </w:r>
          </w:p>
        </w:tc>
      </w:tr>
      <w:tr>
        <w:trPr>
          <w:trHeight w:val="230"/>
        </w:trPr>
        <w:tc>
          <w:tcPr>
            <w:tcW w:w="9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275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ended December 31, 2024).</w:t>
            </w:r>
          </w:p>
        </w:tc>
        <w:tc>
          <w:tcPr>
            <w:tcW w:w="1020" w:type="dxa"/>
            <w:vAlign w:val="bottom"/>
            <w:shd w:val="clear" w:color="auto" w:fill="EAEAEA"/>
          </w:tcPr>
          <w:p>
            <w:pPr>
              <w:spacing w:after="0"/>
              <w:rPr>
                <w:sz w:val="20"/>
                <w:szCs w:val="20"/>
                <w:color w:val="auto"/>
              </w:rPr>
            </w:pPr>
          </w:p>
        </w:tc>
        <w:tc>
          <w:tcPr>
            <w:tcW w:w="960" w:type="dxa"/>
            <w:vAlign w:val="bottom"/>
            <w:gridSpan w:val="2"/>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243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r>
      <w:tr>
        <w:trPr>
          <w:trHeight w:val="210"/>
        </w:trPr>
        <w:tc>
          <w:tcPr>
            <w:tcW w:w="980" w:type="dxa"/>
            <w:vAlign w:val="bottom"/>
          </w:tcPr>
          <w:p>
            <w:pPr>
              <w:jc w:val="right"/>
              <w:ind w:right="342"/>
              <w:spacing w:after="0" w:line="209" w:lineRule="exact"/>
              <w:rPr>
                <w:sz w:val="20"/>
                <w:szCs w:val="20"/>
                <w:color w:val="auto"/>
              </w:rPr>
            </w:pPr>
            <w:r>
              <w:rPr>
                <w:rFonts w:ascii="Times New Roman" w:cs="Times New Roman" w:eastAsia="Times New Roman" w:hAnsi="Times New Roman"/>
                <w:sz w:val="20"/>
                <w:szCs w:val="20"/>
                <w:color w:val="auto"/>
                <w:w w:val="94"/>
              </w:rPr>
              <w:t>10.19†</w:t>
            </w:r>
          </w:p>
        </w:tc>
        <w:tc>
          <w:tcPr>
            <w:tcW w:w="320" w:type="dxa"/>
            <w:vAlign w:val="bottom"/>
          </w:tcPr>
          <w:p>
            <w:pPr>
              <w:spacing w:after="0"/>
              <w:rPr>
                <w:sz w:val="18"/>
                <w:szCs w:val="18"/>
                <w:color w:val="auto"/>
              </w:rPr>
            </w:pPr>
          </w:p>
        </w:tc>
        <w:tc>
          <w:tcPr>
            <w:tcW w:w="950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Form of Long-Term Performance Award Agreement (incorporated by reference to Exhibit 10.21 to the Registrant’s</w:t>
            </w: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Annual Report on Form 10-K for the year ended December 31, 2024).</w:t>
            </w:r>
          </w:p>
        </w:tc>
      </w:tr>
      <w:tr>
        <w:trPr>
          <w:trHeight w:val="190"/>
        </w:trPr>
        <w:tc>
          <w:tcPr>
            <w:tcW w:w="980" w:type="dxa"/>
            <w:vAlign w:val="bottom"/>
            <w:shd w:val="clear" w:color="auto" w:fill="EAEAEA"/>
          </w:tcPr>
          <w:p>
            <w:pPr>
              <w:ind w:left="2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19.1</w:t>
            </w:r>
          </w:p>
        </w:tc>
        <w:tc>
          <w:tcPr>
            <w:tcW w:w="320" w:type="dxa"/>
            <w:vAlign w:val="bottom"/>
            <w:shd w:val="clear" w:color="auto" w:fill="EAEAEA"/>
          </w:tcPr>
          <w:p>
            <w:pPr>
              <w:spacing w:after="0"/>
              <w:rPr>
                <w:sz w:val="16"/>
                <w:szCs w:val="16"/>
                <w:color w:val="auto"/>
              </w:rPr>
            </w:pPr>
          </w:p>
        </w:tc>
        <w:tc>
          <w:tcPr>
            <w:tcW w:w="9500" w:type="dxa"/>
            <w:vAlign w:val="bottom"/>
            <w:gridSpan w:val="10"/>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Insider Trading Policy (incorporated by reference to Exhibit 19.1 to the Registrant’s Annual Report on Form 10-K for</w:t>
            </w:r>
          </w:p>
        </w:tc>
      </w:tr>
      <w:tr>
        <w:trPr>
          <w:trHeight w:val="270"/>
        </w:trPr>
        <w:tc>
          <w:tcPr>
            <w:tcW w:w="980" w:type="dxa"/>
            <w:vAlign w:val="bottom"/>
            <w:shd w:val="clear" w:color="auto" w:fill="EAEAEA"/>
          </w:tcPr>
          <w:p>
            <w:pPr>
              <w:spacing w:after="0"/>
              <w:rPr>
                <w:sz w:val="23"/>
                <w:szCs w:val="23"/>
                <w:color w:val="auto"/>
              </w:rPr>
            </w:pPr>
          </w:p>
        </w:tc>
        <w:tc>
          <w:tcPr>
            <w:tcW w:w="320" w:type="dxa"/>
            <w:vAlign w:val="bottom"/>
            <w:shd w:val="clear" w:color="auto" w:fill="EAEAEA"/>
          </w:tcPr>
          <w:p>
            <w:pPr>
              <w:spacing w:after="0"/>
              <w:rPr>
                <w:sz w:val="23"/>
                <w:szCs w:val="23"/>
                <w:color w:val="auto"/>
              </w:rPr>
            </w:pPr>
          </w:p>
        </w:tc>
        <w:tc>
          <w:tcPr>
            <w:tcW w:w="377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the year ended December 31, 2024).</w:t>
            </w:r>
          </w:p>
        </w:tc>
        <w:tc>
          <w:tcPr>
            <w:tcW w:w="1980" w:type="dxa"/>
            <w:vAlign w:val="bottom"/>
            <w:gridSpan w:val="5"/>
            <w:shd w:val="clear" w:color="auto" w:fill="EAEAEA"/>
          </w:tcPr>
          <w:p>
            <w:pPr>
              <w:spacing w:after="0"/>
              <w:rPr>
                <w:sz w:val="23"/>
                <w:szCs w:val="23"/>
                <w:color w:val="auto"/>
              </w:rPr>
            </w:pPr>
          </w:p>
        </w:tc>
        <w:tc>
          <w:tcPr>
            <w:tcW w:w="3750" w:type="dxa"/>
            <w:vAlign w:val="bottom"/>
            <w:gridSpan w:val="3"/>
            <w:shd w:val="clear" w:color="auto" w:fill="EAEAEA"/>
          </w:tcPr>
          <w:p>
            <w:pPr>
              <w:spacing w:after="0"/>
              <w:rPr>
                <w:sz w:val="23"/>
                <w:szCs w:val="23"/>
                <w:color w:val="auto"/>
              </w:rPr>
            </w:pPr>
          </w:p>
        </w:tc>
      </w:tr>
      <w:tr>
        <w:trPr>
          <w:trHeight w:val="210"/>
        </w:trPr>
        <w:tc>
          <w:tcPr>
            <w:tcW w:w="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19.2</w:t>
            </w:r>
          </w:p>
        </w:tc>
        <w:tc>
          <w:tcPr>
            <w:tcW w:w="320" w:type="dxa"/>
            <w:vAlign w:val="bottom"/>
          </w:tcPr>
          <w:p>
            <w:pPr>
              <w:spacing w:after="0"/>
              <w:rPr>
                <w:sz w:val="18"/>
                <w:szCs w:val="18"/>
                <w:color w:val="auto"/>
              </w:rPr>
            </w:pPr>
          </w:p>
        </w:tc>
        <w:tc>
          <w:tcPr>
            <w:tcW w:w="950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Supplemental Insider Trading Policy (incorporated by reference to Exhibit 19.2 to the Registrant’s Annual Report on</w:t>
            </w:r>
          </w:p>
        </w:tc>
      </w:tr>
      <w:tr>
        <w:trPr>
          <w:trHeight w:val="250"/>
        </w:trPr>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Form 10-K for the year ended December 31, 2024).</w:t>
            </w:r>
          </w:p>
        </w:tc>
      </w:tr>
      <w:tr>
        <w:trPr>
          <w:trHeight w:val="210"/>
        </w:trPr>
        <w:tc>
          <w:tcPr>
            <w:tcW w:w="98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21.1*</w:t>
            </w:r>
          </w:p>
        </w:tc>
        <w:tc>
          <w:tcPr>
            <w:tcW w:w="320" w:type="dxa"/>
            <w:vAlign w:val="bottom"/>
            <w:tcBorders>
              <w:bottom w:val="single" w:sz="8" w:color="EAEAEA"/>
            </w:tcBorders>
            <w:shd w:val="clear" w:color="auto" w:fill="EAEAEA"/>
          </w:tcPr>
          <w:p>
            <w:pPr>
              <w:spacing w:after="0"/>
              <w:rPr>
                <w:sz w:val="18"/>
                <w:szCs w:val="18"/>
                <w:color w:val="auto"/>
              </w:rPr>
            </w:pPr>
          </w:p>
        </w:tc>
        <w:tc>
          <w:tcPr>
            <w:tcW w:w="3770" w:type="dxa"/>
            <w:vAlign w:val="bottom"/>
            <w:tcBorders>
              <w:bottom w:val="single" w:sz="8" w:color="EAEAEA"/>
            </w:tcBorders>
            <w:gridSpan w:val="2"/>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Consolidated Subsidiaries of the Registrant.</w:t>
            </w:r>
          </w:p>
        </w:tc>
        <w:tc>
          <w:tcPr>
            <w:tcW w:w="1980" w:type="dxa"/>
            <w:vAlign w:val="bottom"/>
            <w:tcBorders>
              <w:bottom w:val="single" w:sz="8" w:color="EAEAEA"/>
            </w:tcBorders>
            <w:gridSpan w:val="5"/>
            <w:shd w:val="clear" w:color="auto" w:fill="EAEAEA"/>
          </w:tcPr>
          <w:p>
            <w:pPr>
              <w:spacing w:after="0"/>
              <w:rPr>
                <w:sz w:val="18"/>
                <w:szCs w:val="18"/>
                <w:color w:val="auto"/>
              </w:rPr>
            </w:pPr>
          </w:p>
        </w:tc>
        <w:tc>
          <w:tcPr>
            <w:tcW w:w="3750" w:type="dxa"/>
            <w:vAlign w:val="bottom"/>
            <w:tcBorders>
              <w:bottom w:val="single" w:sz="8" w:color="EAEAEA"/>
            </w:tcBorders>
            <w:gridSpan w:val="3"/>
            <w:shd w:val="clear" w:color="auto" w:fill="EAEAEA"/>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3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10"/>
        </w:trPr>
        <w:tc>
          <w:tcPr>
            <w:tcW w:w="980" w:type="dxa"/>
            <w:vAlign w:val="bottom"/>
            <w:tcBorders>
              <w:bottom w:val="single" w:sz="8" w:color="EAEAEA"/>
            </w:tcBorders>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31.1*</w:t>
            </w:r>
          </w:p>
        </w:tc>
        <w:tc>
          <w:tcPr>
            <w:tcW w:w="320" w:type="dxa"/>
            <w:vAlign w:val="bottom"/>
            <w:tcBorders>
              <w:bottom w:val="single" w:sz="8" w:color="EAEAEA"/>
            </w:tcBorders>
            <w:shd w:val="clear" w:color="auto" w:fill="EAEAEA"/>
          </w:tcPr>
          <w:p>
            <w:pPr>
              <w:spacing w:after="0"/>
              <w:rPr>
                <w:sz w:val="18"/>
                <w:szCs w:val="18"/>
                <w:color w:val="auto"/>
              </w:rPr>
            </w:pPr>
          </w:p>
        </w:tc>
        <w:tc>
          <w:tcPr>
            <w:tcW w:w="5750" w:type="dxa"/>
            <w:vAlign w:val="bottom"/>
            <w:tcBorders>
              <w:bottom w:val="single" w:sz="8" w:color="EAEAEA"/>
            </w:tcBorders>
            <w:gridSpan w:val="7"/>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Certification of Chief Executive Officer Pursuant to Rule 13a-14(a).</w:t>
            </w:r>
          </w:p>
        </w:tc>
        <w:tc>
          <w:tcPr>
            <w:tcW w:w="3750" w:type="dxa"/>
            <w:vAlign w:val="bottom"/>
            <w:tcBorders>
              <w:bottom w:val="single" w:sz="8" w:color="EAEAEA"/>
            </w:tcBorders>
            <w:gridSpan w:val="3"/>
            <w:shd w:val="clear" w:color="auto" w:fill="EAEAEA"/>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3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w:t>
            </w:r>
          </w:p>
        </w:tc>
      </w:tr>
      <w:tr>
        <w:trPr>
          <w:trHeight w:val="189"/>
        </w:trPr>
        <w:tc>
          <w:tcPr>
            <w:tcW w:w="980" w:type="dxa"/>
            <w:vAlign w:val="bottom"/>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32*</w:t>
            </w:r>
          </w:p>
        </w:tc>
        <w:tc>
          <w:tcPr>
            <w:tcW w:w="320" w:type="dxa"/>
            <w:vAlign w:val="bottom"/>
            <w:shd w:val="clear" w:color="auto" w:fill="EAEAEA"/>
          </w:tcPr>
          <w:p>
            <w:pPr>
              <w:spacing w:after="0"/>
              <w:rPr>
                <w:sz w:val="16"/>
                <w:szCs w:val="16"/>
                <w:color w:val="auto"/>
              </w:rPr>
            </w:pPr>
          </w:p>
        </w:tc>
        <w:tc>
          <w:tcPr>
            <w:tcW w:w="9500" w:type="dxa"/>
            <w:vAlign w:val="bottom"/>
            <w:gridSpan w:val="10"/>
            <w:shd w:val="clear" w:color="auto" w:fill="EAEAEA"/>
          </w:tcPr>
          <w:p>
            <w:pPr>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Certification Pursuant to 18 U.S.C. Section 1350 (As adopted pursuant to Section 906 of the Sarbanes-Oxley Act of</w:t>
            </w:r>
          </w:p>
        </w:tc>
      </w:tr>
      <w:tr>
        <w:trPr>
          <w:trHeight w:val="271"/>
        </w:trPr>
        <w:tc>
          <w:tcPr>
            <w:tcW w:w="980" w:type="dxa"/>
            <w:vAlign w:val="bottom"/>
            <w:shd w:val="clear" w:color="auto" w:fill="EAEAEA"/>
          </w:tcPr>
          <w:p>
            <w:pPr>
              <w:spacing w:after="0"/>
              <w:rPr>
                <w:sz w:val="23"/>
                <w:szCs w:val="23"/>
                <w:color w:val="auto"/>
              </w:rPr>
            </w:pPr>
          </w:p>
        </w:tc>
        <w:tc>
          <w:tcPr>
            <w:tcW w:w="320" w:type="dxa"/>
            <w:vAlign w:val="bottom"/>
            <w:shd w:val="clear" w:color="auto" w:fill="EAEAEA"/>
          </w:tcPr>
          <w:p>
            <w:pPr>
              <w:spacing w:after="0"/>
              <w:rPr>
                <w:sz w:val="23"/>
                <w:szCs w:val="23"/>
                <w:color w:val="auto"/>
              </w:rPr>
            </w:pPr>
          </w:p>
        </w:tc>
        <w:tc>
          <w:tcPr>
            <w:tcW w:w="275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shd w:val="clear" w:color="auto" w:fill="EAEAEA"/>
              </w:rPr>
              <w:t>2002).</w:t>
            </w:r>
          </w:p>
        </w:tc>
        <w:tc>
          <w:tcPr>
            <w:tcW w:w="1020" w:type="dxa"/>
            <w:vAlign w:val="bottom"/>
            <w:shd w:val="clear" w:color="auto" w:fill="EAEAEA"/>
          </w:tcPr>
          <w:p>
            <w:pPr>
              <w:spacing w:after="0"/>
              <w:rPr>
                <w:sz w:val="23"/>
                <w:szCs w:val="23"/>
                <w:color w:val="auto"/>
              </w:rPr>
            </w:pPr>
          </w:p>
        </w:tc>
        <w:tc>
          <w:tcPr>
            <w:tcW w:w="120" w:type="dxa"/>
            <w:vAlign w:val="bottom"/>
            <w:shd w:val="clear" w:color="auto" w:fill="EAEAEA"/>
          </w:tcPr>
          <w:p>
            <w:pPr>
              <w:spacing w:after="0"/>
              <w:rPr>
                <w:sz w:val="23"/>
                <w:szCs w:val="23"/>
                <w:color w:val="auto"/>
              </w:rPr>
            </w:pPr>
          </w:p>
        </w:tc>
        <w:tc>
          <w:tcPr>
            <w:tcW w:w="840" w:type="dxa"/>
            <w:vAlign w:val="bottom"/>
            <w:shd w:val="clear" w:color="auto" w:fill="EAEAEA"/>
          </w:tcPr>
          <w:p>
            <w:pPr>
              <w:spacing w:after="0"/>
              <w:rPr>
                <w:sz w:val="23"/>
                <w:szCs w:val="23"/>
                <w:color w:val="auto"/>
              </w:rPr>
            </w:pPr>
          </w:p>
        </w:tc>
        <w:tc>
          <w:tcPr>
            <w:tcW w:w="180" w:type="dxa"/>
            <w:vAlign w:val="bottom"/>
            <w:shd w:val="clear" w:color="auto" w:fill="EAEAEA"/>
          </w:tcPr>
          <w:p>
            <w:pPr>
              <w:spacing w:after="0"/>
              <w:rPr>
                <w:sz w:val="23"/>
                <w:szCs w:val="23"/>
                <w:color w:val="auto"/>
              </w:rPr>
            </w:pPr>
          </w:p>
        </w:tc>
        <w:tc>
          <w:tcPr>
            <w:tcW w:w="200" w:type="dxa"/>
            <w:vAlign w:val="bottom"/>
            <w:shd w:val="clear" w:color="auto" w:fill="EAEAEA"/>
          </w:tcPr>
          <w:p>
            <w:pPr>
              <w:spacing w:after="0"/>
              <w:rPr>
                <w:sz w:val="23"/>
                <w:szCs w:val="23"/>
                <w:color w:val="auto"/>
              </w:rPr>
            </w:pPr>
          </w:p>
        </w:tc>
        <w:tc>
          <w:tcPr>
            <w:tcW w:w="640" w:type="dxa"/>
            <w:vAlign w:val="bottom"/>
            <w:shd w:val="clear" w:color="auto" w:fill="EAEAEA"/>
          </w:tcPr>
          <w:p>
            <w:pPr>
              <w:spacing w:after="0"/>
              <w:rPr>
                <w:sz w:val="23"/>
                <w:szCs w:val="23"/>
                <w:color w:val="auto"/>
              </w:rPr>
            </w:pPr>
          </w:p>
        </w:tc>
        <w:tc>
          <w:tcPr>
            <w:tcW w:w="380" w:type="dxa"/>
            <w:vAlign w:val="bottom"/>
            <w:shd w:val="clear" w:color="auto" w:fill="EAEAEA"/>
          </w:tcPr>
          <w:p>
            <w:pPr>
              <w:spacing w:after="0"/>
              <w:rPr>
                <w:sz w:val="23"/>
                <w:szCs w:val="23"/>
                <w:color w:val="auto"/>
              </w:rPr>
            </w:pPr>
          </w:p>
        </w:tc>
        <w:tc>
          <w:tcPr>
            <w:tcW w:w="2430" w:type="dxa"/>
            <w:vAlign w:val="bottom"/>
            <w:shd w:val="clear" w:color="auto" w:fill="EAEAEA"/>
          </w:tcPr>
          <w:p>
            <w:pPr>
              <w:spacing w:after="0"/>
              <w:rPr>
                <w:sz w:val="23"/>
                <w:szCs w:val="23"/>
                <w:color w:val="auto"/>
              </w:rPr>
            </w:pPr>
          </w:p>
        </w:tc>
        <w:tc>
          <w:tcPr>
            <w:tcW w:w="940" w:type="dxa"/>
            <w:vAlign w:val="bottom"/>
            <w:shd w:val="clear" w:color="auto" w:fill="EAEAEA"/>
          </w:tcPr>
          <w:p>
            <w:pPr>
              <w:spacing w:after="0"/>
              <w:rPr>
                <w:sz w:val="23"/>
                <w:szCs w:val="23"/>
                <w:color w:val="auto"/>
              </w:rPr>
            </w:pPr>
          </w:p>
        </w:tc>
      </w:tr>
    </w:tbl>
    <w:p>
      <w:pPr>
        <w:ind w:left="1300" w:hanging="1292"/>
        <w:spacing w:after="0"/>
        <w:tabs>
          <w:tab w:leader="none" w:pos="1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Kirby Corporation Clawback Policy (incorporated by reference to Exhibit 97 to the Registrant’s Annual Report on</w:t>
      </w: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10-K for the year ended December 31, 2023).</w:t>
            </w:r>
          </w:p>
        </w:tc>
      </w:tr>
      <w:tr>
        <w:trPr>
          <w:trHeight w:val="190"/>
        </w:trPr>
        <w:tc>
          <w:tcPr>
            <w:tcW w:w="1140" w:type="dxa"/>
            <w:vAlign w:val="bottom"/>
            <w:shd w:val="clear" w:color="auto" w:fill="EAEAEA"/>
          </w:tcPr>
          <w:p>
            <w:pPr>
              <w:ind w:left="2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101.INS*</w:t>
            </w:r>
          </w:p>
        </w:tc>
        <w:tc>
          <w:tcPr>
            <w:tcW w:w="9660" w:type="dxa"/>
            <w:vAlign w:val="bottom"/>
            <w:shd w:val="clear" w:color="auto" w:fill="EAEAEA"/>
          </w:tcPr>
          <w:p>
            <w:pPr>
              <w:ind w:left="16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Inline XBRL Instance Document - the instance document does not appear in the Interactive Data File because its</w:t>
            </w:r>
          </w:p>
        </w:tc>
      </w:tr>
      <w:tr>
        <w:trPr>
          <w:trHeight w:val="270"/>
        </w:trPr>
        <w:tc>
          <w:tcPr>
            <w:tcW w:w="1140" w:type="dxa"/>
            <w:vAlign w:val="bottom"/>
            <w:shd w:val="clear" w:color="auto" w:fill="EAEAEA"/>
          </w:tcPr>
          <w:p>
            <w:pPr>
              <w:spacing w:after="0"/>
              <w:rPr>
                <w:sz w:val="23"/>
                <w:szCs w:val="23"/>
                <w:color w:val="auto"/>
              </w:rPr>
            </w:pPr>
          </w:p>
        </w:tc>
        <w:tc>
          <w:tcPr>
            <w:tcW w:w="966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shd w:val="clear" w:color="auto" w:fill="EAEAEA"/>
              </w:rPr>
              <w:t>XBRL tags are embedded within the Inline XBRL document</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210"/>
        </w:trPr>
        <w:tc>
          <w:tcPr>
            <w:tcW w:w="1140" w:type="dxa"/>
            <w:vAlign w:val="bottom"/>
            <w:tcBorders>
              <w:bottom w:val="single" w:sz="8" w:color="EAEAEA"/>
            </w:tcBorders>
            <w:shd w:val="clear" w:color="auto" w:fill="EAEAEA"/>
          </w:tcPr>
          <w:p>
            <w:pPr>
              <w:ind w:left="20"/>
              <w:spacing w:after="0" w:line="189" w:lineRule="exact"/>
              <w:rPr>
                <w:sz w:val="20"/>
                <w:szCs w:val="20"/>
                <w:color w:val="auto"/>
              </w:rPr>
            </w:pPr>
            <w:r>
              <w:rPr>
                <w:rFonts w:ascii="Times New Roman" w:cs="Times New Roman" w:eastAsia="Times New Roman" w:hAnsi="Times New Roman"/>
                <w:sz w:val="20"/>
                <w:szCs w:val="20"/>
                <w:color w:val="auto"/>
              </w:rPr>
              <w:t>104*</w:t>
            </w:r>
          </w:p>
        </w:tc>
        <w:tc>
          <w:tcPr>
            <w:tcW w:w="9660" w:type="dxa"/>
            <w:vAlign w:val="bottom"/>
            <w:tcBorders>
              <w:bottom w:val="single" w:sz="8" w:color="EAEAEA"/>
            </w:tcBorders>
            <w:shd w:val="clear" w:color="auto" w:fill="EAEAEA"/>
          </w:tcPr>
          <w:p>
            <w:pPr>
              <w:ind w:left="160"/>
              <w:spacing w:after="0" w:line="189" w:lineRule="exact"/>
              <w:rPr>
                <w:sz w:val="20"/>
                <w:szCs w:val="20"/>
                <w:color w:val="auto"/>
              </w:rPr>
            </w:pPr>
            <w:r>
              <w:rPr>
                <w:rFonts w:ascii="Times New Roman" w:cs="Times New Roman" w:eastAsia="Times New Roman" w:hAnsi="Times New Roman"/>
                <w:sz w:val="20"/>
                <w:szCs w:val="20"/>
                <w:color w:val="auto"/>
                <w:shd w:val="clear" w:color="auto" w:fill="EAEAEA"/>
              </w:rPr>
              <w:t>Cover Page Interactive Data File (embedded within the Inline XBRL document)</w:t>
            </w:r>
          </w:p>
        </w:tc>
      </w:tr>
      <w:tr>
        <w:trPr>
          <w:trHeight w:val="20"/>
        </w:trPr>
        <w:tc>
          <w:tcPr>
            <w:tcW w:w="1140" w:type="dxa"/>
            <w:vAlign w:val="bottom"/>
            <w:shd w:val="clear" w:color="auto" w:fill="000000"/>
          </w:tcPr>
          <w:p>
            <w:pPr>
              <w:spacing w:after="0" w:line="20" w:lineRule="exact"/>
              <w:rPr>
                <w:sz w:val="1"/>
                <w:szCs w:val="1"/>
                <w:color w:val="auto"/>
              </w:rPr>
            </w:pPr>
          </w:p>
        </w:tc>
        <w:tc>
          <w:tcPr>
            <w:tcW w:w="9660" w:type="dxa"/>
            <w:vAlign w:val="bottom"/>
            <w:shd w:val="clear" w:color="auto" w:fill="000000"/>
          </w:tcPr>
          <w:p>
            <w:pPr>
              <w:spacing w:after="0" w:line="20" w:lineRule="exact"/>
              <w:rPr>
                <w:sz w:val="1"/>
                <w:szCs w:val="1"/>
                <w:color w:val="auto"/>
              </w:rPr>
            </w:pPr>
          </w:p>
        </w:tc>
      </w:tr>
    </w:tbl>
    <w:p>
      <w:pPr>
        <w:spacing w:after="0" w:line="100" w:lineRule="exact"/>
        <w:rPr>
          <w:sz w:val="20"/>
          <w:szCs w:val="20"/>
          <w:color w:val="auto"/>
        </w:rPr>
      </w:pPr>
    </w:p>
    <w:p>
      <w:pPr>
        <w:ind w:left="160" w:hanging="146"/>
        <w:spacing w:after="0"/>
        <w:tabs>
          <w:tab w:leader="none" w:pos="1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9" w:lineRule="exact"/>
        <w:rPr>
          <w:sz w:val="20"/>
          <w:szCs w:val="20"/>
          <w:color w:val="auto"/>
        </w:rPr>
      </w:pPr>
    </w:p>
    <w:p>
      <w:pPr>
        <w:ind w:left="160" w:hanging="150"/>
        <w:spacing w:after="0"/>
        <w:tabs>
          <w:tab w:leader="none" w:pos="1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compensatory plan or arrangement.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10-K Summary</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930" w:right="7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ectPr>
          <w:pgSz w:w="12240" w:h="15840" w:orient="portrait"/>
          <w:cols w:equalWidth="0" w:num="1">
            <w:col w:w="10800"/>
          </w:cols>
          <w:pgMar w:left="720" w:top="930" w:right="720" w:bottom="21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3"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KIRBY CORPORATION</w:t>
      </w:r>
    </w:p>
    <w:p>
      <w:pPr>
        <w:spacing w:after="0" w:line="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(REGISTRANT)</w:t>
      </w:r>
    </w:p>
    <w:p>
      <w:pPr>
        <w:spacing w:after="0" w:line="201" w:lineRule="exact"/>
        <w:rPr>
          <w:sz w:val="20"/>
          <w:szCs w:val="20"/>
          <w:color w:val="auto"/>
        </w:rPr>
      </w:pPr>
    </w:p>
    <w:p>
      <w:pPr>
        <w:ind w:left="5400"/>
        <w:spacing w:after="0"/>
        <w:tabs>
          <w:tab w:leader="none" w:pos="7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RAJ KUMAR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3714115</wp:posOffset>
                </wp:positionH>
                <wp:positionV relativeFrom="paragraph">
                  <wp:posOffset>15875</wp:posOffset>
                </wp:positionV>
                <wp:extent cx="314388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438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45pt,1.25pt" to="540pt,1.25pt" o:allowincell="f" strokecolor="#000000" strokeweight="0.5pt"/>
            </w:pict>
          </mc:Fallback>
        </mc:AlternateContent>
      </w:r>
    </w:p>
    <w:p>
      <w:pPr>
        <w:spacing w:after="0" w:line="1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20"/>
          <w:szCs w:val="20"/>
          <w:b w:val="1"/>
          <w:bCs w:val="1"/>
          <w:color w:val="auto"/>
        </w:rPr>
        <w:t>Raj Kumar</w:t>
      </w:r>
    </w:p>
    <w:p>
      <w:pPr>
        <w:spacing w:after="0" w:line="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20"/>
          <w:szCs w:val="20"/>
          <w:b w:val="1"/>
          <w:bCs w:val="1"/>
          <w:i w:val="1"/>
          <w:iCs w:val="1"/>
          <w:color w:val="auto"/>
        </w:rPr>
        <w:t>Executive Vice President and</w:t>
      </w:r>
    </w:p>
    <w:p>
      <w:pPr>
        <w:jc w:val="center"/>
        <w:ind w:left="5840"/>
        <w:spacing w:after="0"/>
        <w:rPr>
          <w:sz w:val="20"/>
          <w:szCs w:val="20"/>
          <w:color w:val="auto"/>
        </w:rPr>
      </w:pPr>
      <w:r>
        <w:rPr>
          <w:rFonts w:ascii="Times New Roman" w:cs="Times New Roman" w:eastAsia="Times New Roman" w:hAnsi="Times New Roman"/>
          <w:sz w:val="20"/>
          <w:szCs w:val="20"/>
          <w:b w:val="1"/>
          <w:bCs w:val="1"/>
          <w:i w:val="1"/>
          <w:iCs w:val="1"/>
          <w:color w:val="auto"/>
        </w:rPr>
        <w:t>Chief Financial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18"/>
          <w:szCs w:val="18"/>
          <w:color w:val="auto"/>
        </w:rPr>
        <w:t>February 17, 2026</w:t>
      </w:r>
    </w:p>
    <w:p>
      <w:pPr>
        <w:spacing w:after="0" w:line="207"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0" w:type="dxa"/>
            <w:vAlign w:val="bottom"/>
          </w:tcPr>
          <w:p>
            <w:pPr>
              <w:spacing w:after="0"/>
              <w:rPr>
                <w:sz w:val="19"/>
                <w:szCs w:val="19"/>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1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J. ALARIO</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J. Alario</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88"/>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W. GRZEBINSKI</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179"/>
        </w:trPr>
        <w:tc>
          <w:tcPr>
            <w:tcW w:w="41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David W. Grzebinski</w:t>
            </w:r>
          </w:p>
        </w:tc>
        <w:tc>
          <w:tcPr>
            <w:tcW w:w="200" w:type="dxa"/>
            <w:vAlign w:val="bottom"/>
          </w:tcPr>
          <w:p>
            <w:pPr>
              <w:spacing w:after="0"/>
              <w:rPr>
                <w:sz w:val="15"/>
                <w:szCs w:val="15"/>
                <w:color w:val="auto"/>
              </w:rPr>
            </w:pPr>
          </w:p>
        </w:tc>
        <w:tc>
          <w:tcPr>
            <w:tcW w:w="39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and Director</w:t>
            </w: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40"/>
        </w:trPr>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9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RAJ KUMAR</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178"/>
        </w:trPr>
        <w:tc>
          <w:tcPr>
            <w:tcW w:w="41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Raj Kumar</w:t>
            </w:r>
          </w:p>
        </w:tc>
        <w:tc>
          <w:tcPr>
            <w:tcW w:w="200" w:type="dxa"/>
            <w:vAlign w:val="bottom"/>
          </w:tcPr>
          <w:p>
            <w:pPr>
              <w:spacing w:after="0"/>
              <w:rPr>
                <w:sz w:val="15"/>
                <w:szCs w:val="15"/>
                <w:color w:val="auto"/>
              </w:rPr>
            </w:pPr>
          </w:p>
        </w:tc>
        <w:tc>
          <w:tcPr>
            <w:tcW w:w="39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41"/>
        </w:trPr>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9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RONALD A. DRAGG</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Vice President, Controller and</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179"/>
        </w:trPr>
        <w:tc>
          <w:tcPr>
            <w:tcW w:w="41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Ronald A. Dragg</w:t>
            </w:r>
          </w:p>
        </w:tc>
        <w:tc>
          <w:tcPr>
            <w:tcW w:w="200" w:type="dxa"/>
            <w:vAlign w:val="bottom"/>
          </w:tcPr>
          <w:p>
            <w:pPr>
              <w:spacing w:after="0"/>
              <w:rPr>
                <w:sz w:val="15"/>
                <w:szCs w:val="15"/>
                <w:color w:val="auto"/>
              </w:rPr>
            </w:pPr>
          </w:p>
        </w:tc>
        <w:tc>
          <w:tcPr>
            <w:tcW w:w="39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Assistant Secretary</w:t>
            </w: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40"/>
        </w:trPr>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9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ANNE-MARIE N. AINSWORTH</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Anne-Marie N. Ainsworth</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73"/>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TANYA S. BEDER</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Tanya S. Beder</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73"/>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BARRY E. DAVIS</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Barry E. Davis</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73"/>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W. DIO</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Susan W. Dio</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81"/>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R. STEWART</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R. Stewart</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73"/>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M. WATERMAN</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M. Waterman</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73"/>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SHAWN D. WILLIAMS</w:t>
            </w:r>
          </w:p>
        </w:tc>
        <w:tc>
          <w:tcPr>
            <w:tcW w:w="2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r>
      <w:tr>
        <w:trPr>
          <w:trHeight w:val="238"/>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Shawn D. Williams</w:t>
            </w: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2604135</wp:posOffset>
                </wp:positionH>
                <wp:positionV relativeFrom="paragraph">
                  <wp:posOffset>-4573905</wp:posOffset>
                </wp:positionV>
                <wp:extent cx="12192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360.1499pt" to="214.65pt,-360.1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-4100830</wp:posOffset>
                </wp:positionV>
                <wp:extent cx="12192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322.8999pt" to="214.65pt,-322.8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-3568700</wp:posOffset>
                </wp:positionV>
                <wp:extent cx="12192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281pt" to="214.65pt,-281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-3036570</wp:posOffset>
                </wp:positionV>
                <wp:extent cx="12192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239.0999pt" to="214.65pt,-239.0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-2505075</wp:posOffset>
                </wp:positionV>
                <wp:extent cx="12192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197.2499pt" to="214.65pt,-197.2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-2104390</wp:posOffset>
                </wp:positionV>
                <wp:extent cx="12192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165.6999pt" to="214.65pt,-165.6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-1703705</wp:posOffset>
                </wp:positionV>
                <wp:extent cx="12192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134.1499pt" to="214.65pt,-134.1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-961390</wp:posOffset>
                </wp:positionV>
                <wp:extent cx="12192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75.6999pt" to="214.65pt,-75.6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-560705</wp:posOffset>
                </wp:positionV>
                <wp:extent cx="12192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44.1499pt" to="214.65pt,-44.1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2604135</wp:posOffset>
                </wp:positionH>
                <wp:positionV relativeFrom="paragraph">
                  <wp:posOffset>-160655</wp:posOffset>
                </wp:positionV>
                <wp:extent cx="12192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05pt,-12.6499pt" to="214.65pt,-12.6499pt" o:allowincell="f" strokecolor="#FFFFFF" strokeweight="0.5pt"/>
            </w:pict>
          </mc:Fallback>
        </mc:AlternateContent>
      </w:r>
    </w:p>
    <w:p>
      <w:pPr>
        <w:sectPr>
          <w:pgSz w:w="12240" w:h="15840" w:orient="portrait"/>
          <w:cols w:equalWidth="0" w:num="1">
            <w:col w:w="10800"/>
          </w:cols>
          <w:pgMar w:left="720" w:top="926" w:right="720"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2240" w:h="15840" w:orient="portrait"/>
          <w:cols w:equalWidth="0" w:num="1">
            <w:col w:w="10800"/>
          </w:cols>
          <w:pgMar w:left="720" w:top="926" w:right="720" w:bottom="199" w:gutter="0" w:footer="0" w:header="0"/>
          <w:type w:val="continuous"/>
        </w:sectPr>
      </w:pPr>
    </w:p>
    <w:bookmarkStart w:id="94" w:name="page95"/>
    <w:bookmarkEnd w:id="94"/>
    <w:p>
      <w:pPr>
        <w:ind w:left="95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connection with the filing of the report on Form 10-K for the year ended December 31, 2025 by Kirby Corporation, David 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Grzebinski certifies that:</w:t>
      </w:r>
    </w:p>
    <w:p>
      <w:pPr>
        <w:spacing w:after="0" w:line="202" w:lineRule="exact"/>
        <w:rPr>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report on Form 10-K of Kirby Corporation (the “registrant”);</w:t>
      </w:r>
    </w:p>
    <w:p>
      <w:pPr>
        <w:spacing w:after="0" w:line="229" w:lineRule="exact"/>
        <w:rPr>
          <w:rFonts w:ascii="Times New Roman" w:cs="Times New Roman" w:eastAsia="Times New Roman" w:hAnsi="Times New Roman"/>
          <w:sz w:val="20"/>
          <w:szCs w:val="20"/>
          <w:color w:val="auto"/>
        </w:rPr>
      </w:pPr>
    </w:p>
    <w:p>
      <w:pPr>
        <w:jc w:val="both"/>
        <w:ind w:firstLine="364"/>
        <w:spacing w:after="0" w:line="259" w:lineRule="auto"/>
        <w:tabs>
          <w:tab w:leader="none" w:pos="75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 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0"/>
          <w:szCs w:val="20"/>
          <w:color w:val="auto"/>
        </w:rPr>
      </w:pPr>
    </w:p>
    <w:p>
      <w:pPr>
        <w:jc w:val="both"/>
        <w:ind w:firstLine="360"/>
        <w:spacing w:after="0" w:line="259" w:lineRule="auto"/>
        <w:tabs>
          <w:tab w:leader="none" w:pos="72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6715760</wp:posOffset>
            </wp:positionH>
            <wp:positionV relativeFrom="paragraph">
              <wp:posOffset>-980440</wp:posOffset>
            </wp:positionV>
            <wp:extent cx="9525" cy="571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9">
                      <a:extLst>
                        <a:ext uri="{28A0092B-C50C-407E-A947-70E740481C1C}"/>
                      </a:extLst>
                    </a:blip>
                    <a:srcRect/>
                    <a:stretch>
                      <a:fillRect/>
                    </a:stretch>
                  </pic:blipFill>
                  <pic:spPr bwMode="auto">
                    <a:xfrm>
                      <a:off x="0" y="0"/>
                      <a:ext cx="9525" cy="57150"/>
                    </a:xfrm>
                    <a:prstGeom prst="rect">
                      <a:avLst/>
                    </a:prstGeom>
                    <a:noFill/>
                  </pic:spPr>
                </pic:pic>
              </a:graphicData>
            </a:graphic>
          </wp:anchor>
        </w:drawing>
      </w:r>
    </w:p>
    <w:p>
      <w:pPr>
        <w:spacing w:after="0" w:line="155"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20"/>
          <w:szCs w:val="20"/>
          <w:color w:val="auto"/>
        </w:rPr>
        <w:t>The registrant’s other certifying officer and I are responsible for establishing and maintaining disclosure controls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procedures (as defined in Exchange Act Rules 13a-15(e) and 15d-15(e)) and internal control over financial reporting (as defined in</w:t>
      </w:r>
    </w:p>
    <w:p>
      <w:pPr>
        <w:spacing w:after="0"/>
        <w:rPr>
          <w:sz w:val="20"/>
          <w:szCs w:val="20"/>
          <w:color w:val="auto"/>
        </w:rPr>
      </w:pPr>
      <w:r>
        <w:rPr>
          <w:rFonts w:ascii="Times New Roman" w:cs="Times New Roman" w:eastAsia="Times New Roman" w:hAnsi="Times New Roman"/>
          <w:sz w:val="20"/>
          <w:szCs w:val="20"/>
          <w:color w:val="auto"/>
        </w:rPr>
        <w:t>Exchange Act Rules 13a-15(f) and 15d-15(f)) for the registrant and have:</w:t>
      </w:r>
    </w:p>
    <w:p>
      <w:pPr>
        <w:spacing w:after="0" w:line="202" w:lineRule="exact"/>
        <w:rPr>
          <w:sz w:val="20"/>
          <w:szCs w:val="20"/>
          <w:color w:val="auto"/>
        </w:rPr>
      </w:pPr>
    </w:p>
    <w:p>
      <w:pPr>
        <w:jc w:val="both"/>
        <w:ind w:left="360" w:firstLine="360"/>
        <w:spacing w:after="0" w:line="258" w:lineRule="auto"/>
        <w:tabs>
          <w:tab w:leader="none" w:pos="116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0"/>
          <w:szCs w:val="20"/>
          <w:color w:val="auto"/>
        </w:rPr>
      </w:pPr>
    </w:p>
    <w:p>
      <w:pPr>
        <w:jc w:val="both"/>
        <w:ind w:left="360" w:firstLine="360"/>
        <w:spacing w:after="0" w:line="259" w:lineRule="auto"/>
        <w:tabs>
          <w:tab w:leader="none" w:pos="116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sz w:val="20"/>
          <w:szCs w:val="20"/>
          <w:color w:val="auto"/>
        </w:rPr>
      </w:pPr>
    </w:p>
    <w:p>
      <w:pPr>
        <w:jc w:val="both"/>
        <w:ind w:left="360" w:firstLine="367"/>
        <w:spacing w:after="0" w:line="259" w:lineRule="auto"/>
        <w:rPr>
          <w:sz w:val="20"/>
          <w:szCs w:val="20"/>
          <w:color w:val="auto"/>
        </w:rPr>
      </w:pPr>
      <w:r>
        <w:rPr>
          <w:rFonts w:ascii="Times New Roman" w:cs="Times New Roman" w:eastAsia="Times New Roman" w:hAnsi="Times New Roman"/>
          <w:sz w:val="20"/>
          <w:szCs w:val="20"/>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sz w:val="20"/>
          <w:szCs w:val="20"/>
          <w:color w:val="auto"/>
        </w:rPr>
      </w:pPr>
    </w:p>
    <w:p>
      <w:pPr>
        <w:jc w:val="both"/>
        <w:ind w:left="360" w:firstLine="360"/>
        <w:spacing w:after="0" w:line="259" w:lineRule="auto"/>
        <w:tabs>
          <w:tab w:leader="none" w:pos="113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jc w:val="both"/>
        <w:ind w:firstLine="370"/>
        <w:spacing w:after="0" w:line="259" w:lineRule="auto"/>
        <w:rPr>
          <w:sz w:val="20"/>
          <w:szCs w:val="20"/>
          <w:color w:val="auto"/>
        </w:rPr>
      </w:pPr>
      <w:r>
        <w:rPr>
          <w:rFonts w:ascii="Times New Roman" w:cs="Times New Roman" w:eastAsia="Times New Roman" w:hAnsi="Times New Roman"/>
          <w:sz w:val="20"/>
          <w:szCs w:val="20"/>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sz w:val="20"/>
          <w:szCs w:val="20"/>
          <w:color w:val="auto"/>
        </w:rPr>
      </w:pPr>
    </w:p>
    <w:p>
      <w:pPr>
        <w:jc w:val="both"/>
        <w:ind w:left="360" w:firstLine="367"/>
        <w:spacing w:after="0" w:line="259" w:lineRule="auto"/>
        <w:tabs>
          <w:tab w:leader="none" w:pos="107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0"/>
          <w:szCs w:val="20"/>
          <w:color w:val="auto"/>
        </w:rPr>
      </w:pPr>
    </w:p>
    <w:p>
      <w:pPr>
        <w:ind w:left="360" w:firstLine="360"/>
        <w:spacing w:after="0" w:line="278" w:lineRule="auto"/>
        <w:tabs>
          <w:tab w:leader="none" w:pos="116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p>
    <w:p>
      <w:pPr>
        <w:spacing w:after="0" w:line="13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0"/>
          <w:szCs w:val="20"/>
          <w:color w:val="auto"/>
        </w:rPr>
        <w:t>/s/ DAVID W. GRZEBINSKI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19050</wp:posOffset>
                </wp:positionV>
                <wp:extent cx="27432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5pt" to="540pt,1.5pt" o:allowincell="f" strokecolor="#000000" strokeweight="1pt"/>
            </w:pict>
          </mc:Fallback>
        </mc:AlternateContent>
      </w:r>
    </w:p>
    <w:p>
      <w:pPr>
        <w:spacing w:after="0" w:line="1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0"/>
          <w:szCs w:val="20"/>
          <w:color w:val="auto"/>
        </w:rPr>
        <w:t>David W. Grzebinski</w:t>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Dated: February 17, 2026</w:t>
      </w:r>
    </w:p>
    <w:p>
      <w:pPr>
        <w:sectPr>
          <w:pgSz w:w="12240" w:h="15840" w:orient="portrait"/>
          <w:cols w:equalWidth="0" w:num="1">
            <w:col w:w="10800"/>
          </w:cols>
          <w:pgMar w:left="720" w:top="926" w:right="720" w:bottom="1440" w:gutter="0" w:footer="0" w:header="0"/>
        </w:sectPr>
      </w:pPr>
    </w:p>
    <w:bookmarkStart w:id="95" w:name="page96"/>
    <w:bookmarkEnd w:id="95"/>
    <w:p>
      <w:pPr>
        <w:ind w:left="95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w:t>
      </w:r>
    </w:p>
    <w:p>
      <w:pPr>
        <w:spacing w:after="0" w:line="233" w:lineRule="exact"/>
        <w:rPr>
          <w:sz w:val="20"/>
          <w:szCs w:val="20"/>
          <w:color w:val="auto"/>
        </w:rPr>
      </w:pPr>
    </w:p>
    <w:p>
      <w:pPr>
        <w:ind w:firstLine="358"/>
        <w:spacing w:after="0" w:line="278" w:lineRule="auto"/>
        <w:rPr>
          <w:sz w:val="20"/>
          <w:szCs w:val="20"/>
          <w:color w:val="auto"/>
        </w:rPr>
      </w:pPr>
      <w:r>
        <w:rPr>
          <w:rFonts w:ascii="Times New Roman" w:cs="Times New Roman" w:eastAsia="Times New Roman" w:hAnsi="Times New Roman"/>
          <w:sz w:val="20"/>
          <w:szCs w:val="20"/>
          <w:color w:val="auto"/>
        </w:rPr>
        <w:t>In connection with the filing of the report on Form 10-K for the year ended December 31, 2025 by Kirby Corporation, Raj Kumar certifies that:</w:t>
      </w:r>
    </w:p>
    <w:p>
      <w:pPr>
        <w:spacing w:after="0" w:line="158" w:lineRule="exact"/>
        <w:rPr>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report on Form 10-K of Kirby Corporation (the “registrant”);</w:t>
      </w:r>
    </w:p>
    <w:p>
      <w:pPr>
        <w:spacing w:after="0" w:line="229" w:lineRule="exact"/>
        <w:rPr>
          <w:rFonts w:ascii="Times New Roman" w:cs="Times New Roman" w:eastAsia="Times New Roman" w:hAnsi="Times New Roman"/>
          <w:sz w:val="20"/>
          <w:szCs w:val="20"/>
          <w:color w:val="auto"/>
        </w:rPr>
      </w:pPr>
    </w:p>
    <w:p>
      <w:pPr>
        <w:jc w:val="both"/>
        <w:ind w:firstLine="364"/>
        <w:spacing w:after="0" w:line="259" w:lineRule="auto"/>
        <w:tabs>
          <w:tab w:leader="none" w:pos="75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 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0"/>
          <w:szCs w:val="20"/>
          <w:color w:val="auto"/>
        </w:rPr>
      </w:pPr>
    </w:p>
    <w:p>
      <w:pPr>
        <w:jc w:val="both"/>
        <w:ind w:firstLine="360"/>
        <w:spacing w:after="0" w:line="259" w:lineRule="auto"/>
        <w:tabs>
          <w:tab w:leader="none" w:pos="7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6715760</wp:posOffset>
            </wp:positionH>
            <wp:positionV relativeFrom="paragraph">
              <wp:posOffset>-980440</wp:posOffset>
            </wp:positionV>
            <wp:extent cx="9525" cy="571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60">
                      <a:extLst>
                        <a:ext uri="{28A0092B-C50C-407E-A947-70E740481C1C}"/>
                      </a:extLst>
                    </a:blip>
                    <a:srcRect/>
                    <a:stretch>
                      <a:fillRect/>
                    </a:stretch>
                  </pic:blipFill>
                  <pic:spPr bwMode="auto">
                    <a:xfrm>
                      <a:off x="0" y="0"/>
                      <a:ext cx="9525" cy="57150"/>
                    </a:xfrm>
                    <a:prstGeom prst="rect">
                      <a:avLst/>
                    </a:prstGeom>
                    <a:noFill/>
                  </pic:spPr>
                </pic:pic>
              </a:graphicData>
            </a:graphic>
          </wp:anchor>
        </w:drawing>
      </w:r>
    </w:p>
    <w:p>
      <w:pPr>
        <w:spacing w:after="0" w:line="155"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20"/>
          <w:szCs w:val="20"/>
          <w:color w:val="auto"/>
        </w:rPr>
        <w:t>The registrant’s other certifying officer and I are responsible for establishing and maintaining disclosure controls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procedures (as defined in Exchange Act Rules 13a-15(e) and 15d-15(e)) and internal control over financial reporting (as defined in</w:t>
      </w:r>
    </w:p>
    <w:p>
      <w:pPr>
        <w:spacing w:after="0"/>
        <w:rPr>
          <w:sz w:val="20"/>
          <w:szCs w:val="20"/>
          <w:color w:val="auto"/>
        </w:rPr>
      </w:pPr>
      <w:r>
        <w:rPr>
          <w:rFonts w:ascii="Times New Roman" w:cs="Times New Roman" w:eastAsia="Times New Roman" w:hAnsi="Times New Roman"/>
          <w:sz w:val="20"/>
          <w:szCs w:val="20"/>
          <w:color w:val="auto"/>
        </w:rPr>
        <w:t>Exchange Act Rules 13a-15(f) and 15d-15(f)) for the registrant and have:</w:t>
      </w:r>
    </w:p>
    <w:p>
      <w:pPr>
        <w:spacing w:after="0" w:line="202" w:lineRule="exact"/>
        <w:rPr>
          <w:sz w:val="20"/>
          <w:szCs w:val="20"/>
          <w:color w:val="auto"/>
        </w:rPr>
      </w:pPr>
    </w:p>
    <w:p>
      <w:pPr>
        <w:jc w:val="both"/>
        <w:ind w:left="360" w:firstLine="360"/>
        <w:spacing w:after="0" w:line="258" w:lineRule="auto"/>
        <w:tabs>
          <w:tab w:leader="none" w:pos="116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0"/>
          <w:szCs w:val="20"/>
          <w:color w:val="auto"/>
        </w:rPr>
      </w:pPr>
    </w:p>
    <w:p>
      <w:pPr>
        <w:jc w:val="both"/>
        <w:ind w:left="360" w:firstLine="360"/>
        <w:spacing w:after="0" w:line="259" w:lineRule="auto"/>
        <w:tabs>
          <w:tab w:leader="none" w:pos="116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sz w:val="20"/>
          <w:szCs w:val="20"/>
          <w:color w:val="auto"/>
        </w:rPr>
      </w:pPr>
    </w:p>
    <w:p>
      <w:pPr>
        <w:jc w:val="both"/>
        <w:ind w:left="360" w:firstLine="367"/>
        <w:spacing w:after="0" w:line="259" w:lineRule="auto"/>
        <w:rPr>
          <w:sz w:val="20"/>
          <w:szCs w:val="20"/>
          <w:color w:val="auto"/>
        </w:rPr>
      </w:pPr>
      <w:r>
        <w:rPr>
          <w:rFonts w:ascii="Times New Roman" w:cs="Times New Roman" w:eastAsia="Times New Roman" w:hAnsi="Times New Roman"/>
          <w:sz w:val="20"/>
          <w:szCs w:val="20"/>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sz w:val="20"/>
          <w:szCs w:val="20"/>
          <w:color w:val="auto"/>
        </w:rPr>
      </w:pPr>
    </w:p>
    <w:p>
      <w:pPr>
        <w:jc w:val="both"/>
        <w:ind w:left="360" w:firstLine="360"/>
        <w:spacing w:after="0" w:line="259" w:lineRule="auto"/>
        <w:tabs>
          <w:tab w:leader="none" w:pos="113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jc w:val="both"/>
        <w:ind w:firstLine="370"/>
        <w:spacing w:after="0" w:line="259" w:lineRule="auto"/>
        <w:rPr>
          <w:sz w:val="20"/>
          <w:szCs w:val="20"/>
          <w:color w:val="auto"/>
        </w:rPr>
      </w:pPr>
      <w:r>
        <w:rPr>
          <w:rFonts w:ascii="Times New Roman" w:cs="Times New Roman" w:eastAsia="Times New Roman" w:hAnsi="Times New Roman"/>
          <w:sz w:val="20"/>
          <w:szCs w:val="20"/>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sz w:val="20"/>
          <w:szCs w:val="20"/>
          <w:color w:val="auto"/>
        </w:rPr>
      </w:pPr>
    </w:p>
    <w:p>
      <w:pPr>
        <w:jc w:val="both"/>
        <w:ind w:left="360" w:firstLine="367"/>
        <w:spacing w:after="0" w:line="259" w:lineRule="auto"/>
        <w:tabs>
          <w:tab w:leader="none" w:pos="107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0"/>
          <w:szCs w:val="20"/>
          <w:color w:val="auto"/>
        </w:rPr>
      </w:pPr>
    </w:p>
    <w:p>
      <w:pPr>
        <w:ind w:left="360" w:firstLine="360"/>
        <w:spacing w:after="0" w:line="278" w:lineRule="auto"/>
        <w:tabs>
          <w:tab w:leader="none" w:pos="116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80" w:type="dxa"/>
            <w:vAlign w:val="bottom"/>
          </w:tcPr>
          <w:p>
            <w:pPr>
              <w:spacing w:after="0"/>
              <w:rPr>
                <w:sz w:val="21"/>
                <w:szCs w:val="21"/>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RAJ KUMAR</w:t>
            </w:r>
          </w:p>
        </w:tc>
        <w:tc>
          <w:tcPr>
            <w:tcW w:w="0" w:type="dxa"/>
            <w:vAlign w:val="bottom"/>
          </w:tcPr>
          <w:p>
            <w:pPr>
              <w:spacing w:after="0"/>
              <w:rPr>
                <w:sz w:val="1"/>
                <w:szCs w:val="1"/>
                <w:color w:val="auto"/>
              </w:rPr>
            </w:pPr>
          </w:p>
        </w:tc>
      </w:tr>
      <w:tr>
        <w:trPr>
          <w:trHeight w:val="213"/>
        </w:trPr>
        <w:tc>
          <w:tcPr>
            <w:tcW w:w="6480" w:type="dxa"/>
            <w:vAlign w:val="bottom"/>
          </w:tcPr>
          <w:p>
            <w:pPr>
              <w:spacing w:after="0"/>
              <w:rPr>
                <w:sz w:val="18"/>
                <w:szCs w:val="18"/>
                <w:color w:val="auto"/>
              </w:rPr>
            </w:pPr>
          </w:p>
        </w:tc>
        <w:tc>
          <w:tcPr>
            <w:tcW w:w="432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Raj Kumar</w:t>
            </w:r>
          </w:p>
        </w:tc>
        <w:tc>
          <w:tcPr>
            <w:tcW w:w="0" w:type="dxa"/>
            <w:vAlign w:val="bottom"/>
          </w:tcPr>
          <w:p>
            <w:pPr>
              <w:spacing w:after="0"/>
              <w:rPr>
                <w:sz w:val="1"/>
                <w:szCs w:val="1"/>
                <w:color w:val="auto"/>
              </w:rPr>
            </w:pPr>
          </w:p>
        </w:tc>
      </w:tr>
      <w:tr>
        <w:trPr>
          <w:trHeight w:val="230"/>
        </w:trPr>
        <w:tc>
          <w:tcPr>
            <w:tcW w:w="6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Dated: February 17, 2026</w:t>
            </w: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Executive Vice President and</w:t>
            </w:r>
          </w:p>
        </w:tc>
        <w:tc>
          <w:tcPr>
            <w:tcW w:w="0" w:type="dxa"/>
            <w:vAlign w:val="bottom"/>
          </w:tcPr>
          <w:p>
            <w:pPr>
              <w:spacing w:after="0"/>
              <w:rPr>
                <w:sz w:val="1"/>
                <w:szCs w:val="1"/>
                <w:color w:val="auto"/>
              </w:rPr>
            </w:pPr>
          </w:p>
        </w:tc>
      </w:tr>
      <w:tr>
        <w:trPr>
          <w:trHeight w:val="264"/>
        </w:trPr>
        <w:tc>
          <w:tcPr>
            <w:tcW w:w="6480" w:type="dxa"/>
            <w:vAlign w:val="bottom"/>
            <w:vMerge w:val="continue"/>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0" w:type="dxa"/>
            <w:vAlign w:val="bottom"/>
          </w:tcPr>
          <w:p>
            <w:pPr>
              <w:spacing w:after="0"/>
              <w:rPr>
                <w:sz w:val="1"/>
                <w:szCs w:val="1"/>
                <w:color w:val="auto"/>
              </w:rPr>
            </w:pPr>
          </w:p>
        </w:tc>
      </w:tr>
    </w:tbl>
    <w:p>
      <w:pPr>
        <w:sectPr>
          <w:pgSz w:w="12240" w:h="15840" w:orient="portrait"/>
          <w:cols w:equalWidth="0" w:num="1">
            <w:col w:w="10800"/>
          </w:cols>
          <w:pgMar w:left="720" w:top="926" w:right="720" w:bottom="1440" w:gutter="0" w:footer="0" w:header="0"/>
        </w:sectPr>
      </w:pPr>
    </w:p>
    <w:bookmarkStart w:id="96" w:name="page97"/>
    <w:bookmarkEnd w:id="96"/>
    <w:p>
      <w:pPr>
        <w:ind w:left="9700"/>
        <w:spacing w:after="0"/>
        <w:rPr>
          <w:sz w:val="20"/>
          <w:szCs w:val="20"/>
          <w:color w:val="auto"/>
        </w:rPr>
      </w:pPr>
      <w:r>
        <w:rPr>
          <w:rFonts w:ascii="Times New Roman" w:cs="Times New Roman" w:eastAsia="Times New Roman" w:hAnsi="Times New Roman"/>
          <w:sz w:val="19"/>
          <w:szCs w:val="19"/>
          <w:b w:val="1"/>
          <w:bCs w:val="1"/>
          <w:color w:val="auto"/>
        </w:rPr>
        <w:t>EXHIBIT 32</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connection with the filing of the Annual Report on Form 10-K for the year ended December 31, 2025 (the “Report”) by Kirby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 (the “Company”), each of the undersigned hereby certifies that:</w:t>
      </w:r>
    </w:p>
    <w:p>
      <w:pPr>
        <w:spacing w:after="0" w:line="202" w:lineRule="exact"/>
        <w:rPr>
          <w:sz w:val="20"/>
          <w:szCs w:val="20"/>
          <w:color w:val="auto"/>
        </w:rPr>
      </w:pPr>
    </w:p>
    <w:p>
      <w:pPr>
        <w:ind w:firstLine="364"/>
        <w:spacing w:after="0" w:line="277" w:lineRule="auto"/>
        <w:tabs>
          <w:tab w:leader="none" w:pos="83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firstLine="364"/>
        <w:spacing w:after="0" w:line="277" w:lineRule="auto"/>
        <w:tabs>
          <w:tab w:leader="none" w:pos="8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0"/>
          <w:szCs w:val="20"/>
          <w:color w:val="auto"/>
        </w:rPr>
        <w:t>/s/ DAVID W. GRZEBINSKI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19050</wp:posOffset>
                </wp:positionV>
                <wp:extent cx="274320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5pt" to="540pt,1.5pt" o:allowincell="f" strokecolor="#000000" strokeweight="1pt"/>
            </w:pict>
          </mc:Fallback>
        </mc:AlternateContent>
      </w:r>
    </w:p>
    <w:p>
      <w:pPr>
        <w:spacing w:after="0" w:line="1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0"/>
          <w:szCs w:val="20"/>
          <w:color w:val="auto"/>
        </w:rPr>
        <w:t>David W. Grzebinski</w:t>
      </w:r>
    </w:p>
    <w:p>
      <w:pPr>
        <w:spacing w:after="0" w:line="1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0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color w:val="auto"/>
        </w:rPr>
        <w:t>/s/ RAJ KUMAR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19050</wp:posOffset>
                </wp:positionV>
                <wp:extent cx="27432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5pt" to="540pt,1.5pt" o:allowincell="f" strokecolor="#000000" strokeweight="1pt"/>
            </w:pict>
          </mc:Fallback>
        </mc:AlternateContent>
      </w:r>
    </w:p>
    <w:p>
      <w:pPr>
        <w:spacing w:after="0" w:line="1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Raj Kumar</w:t>
      </w:r>
    </w:p>
    <w:p>
      <w:pPr>
        <w:spacing w:after="0" w:line="1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i w:val="1"/>
          <w:iCs w:val="1"/>
          <w:color w:val="auto"/>
        </w:rPr>
        <w:t>Executive Vice President and</w:t>
      </w:r>
    </w:p>
    <w:p>
      <w:pPr>
        <w:jc w:val="center"/>
        <w:ind w:left="6480"/>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18"/>
          <w:szCs w:val="18"/>
          <w:color w:val="auto"/>
        </w:rPr>
        <w:t>February 17, 2026</w:t>
      </w:r>
    </w:p>
    <w:p>
      <w:pPr>
        <w:sectPr>
          <w:pgSz w:w="12240" w:h="15840" w:orient="portrait"/>
          <w:cols w:equalWidth="0" w:num="1">
            <w:col w:w="10800"/>
          </w:cols>
          <w:pgMar w:left="720" w:top="926" w:right="720"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00" w:name="page101"/>
    <w:bookmarkEnd w:id="100"/>
    <w:p>
      <w:pPr>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44450</wp:posOffset>
            </wp:positionH>
            <wp:positionV relativeFrom="page">
              <wp:posOffset>44450</wp:posOffset>
            </wp:positionV>
            <wp:extent cx="7670800" cy="99695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61">
                      <a:extLst>
                        <a:ext uri="{28A0092B-C50C-407E-A947-70E740481C1C}"/>
                      </a:extLst>
                    </a:blip>
                    <a:srcRect/>
                    <a:stretch>
                      <a:fillRect/>
                    </a:stretch>
                  </pic:blipFill>
                  <pic:spPr bwMode="auto">
                    <a:xfrm>
                      <a:off x="0" y="0"/>
                      <a:ext cx="7670800" cy="9969500"/>
                    </a:xfrm>
                    <a:prstGeom prst="rect">
                      <a:avLst/>
                    </a:prstGeom>
                    <a:noFill/>
                  </pic:spPr>
                </pic:pic>
              </a:graphicData>
            </a:graphic>
          </wp:anchor>
        </w:drawing>
        <w:t>Stockholder Information</w:t>
      </w:r>
    </w:p>
    <w:p>
      <w:pPr>
        <w:sectPr>
          <w:pgSz w:w="12240" w:h="15840" w:orient="portrait"/>
          <w:cols w:equalWidth="0" w:num="1">
            <w:col w:w="10200"/>
          </w:cols>
          <w:pgMar w:left="1100" w:top="769" w:right="9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ANNUAL MEETING</w:t>
      </w:r>
    </w:p>
    <w:p>
      <w:pPr>
        <w:spacing w:after="0" w:line="199" w:lineRule="exact"/>
        <w:rPr>
          <w:sz w:val="20"/>
          <w:szCs w:val="20"/>
          <w:color w:val="auto"/>
        </w:rPr>
      </w:pPr>
    </w:p>
    <w:p>
      <w:pPr>
        <w:ind w:left="20"/>
        <w:spacing w:after="0" w:line="306" w:lineRule="auto"/>
        <w:rPr>
          <w:sz w:val="20"/>
          <w:szCs w:val="20"/>
          <w:color w:val="auto"/>
        </w:rPr>
      </w:pPr>
      <w:r>
        <w:rPr>
          <w:rFonts w:ascii="Arial" w:cs="Arial" w:eastAsia="Arial" w:hAnsi="Arial"/>
          <w:sz w:val="15"/>
          <w:szCs w:val="15"/>
          <w:color w:val="FFFFFF"/>
        </w:rPr>
        <w:t>The 2026 Annual Meeting of Stockholders will be held at Kirby’s Houston office located at 55 Waugh Drive, Suite 1100, Houston, Texas,</w:t>
      </w:r>
    </w:p>
    <w:p>
      <w:pPr>
        <w:ind w:left="20"/>
        <w:spacing w:after="0"/>
        <w:rPr>
          <w:sz w:val="20"/>
          <w:szCs w:val="20"/>
          <w:color w:val="auto"/>
        </w:rPr>
      </w:pPr>
      <w:r>
        <w:rPr>
          <w:rFonts w:ascii="Arial" w:cs="Arial" w:eastAsia="Arial" w:hAnsi="Arial"/>
          <w:sz w:val="15"/>
          <w:szCs w:val="15"/>
          <w:color w:val="FFFFFF"/>
        </w:rPr>
        <w:t>77007 at 10:00am (CDT) on Monday, April 27,</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2026. Stockholders of record as of March 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FFFFFF"/>
        </w:rPr>
        <w:t>2026 will be able to attend the meeting.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CORPORATE HEADQUARTERS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Executive Office:</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55 Waugh Drive, Suite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3280" w:type="dxa"/>
            <w:vAlign w:val="bottom"/>
          </w:tcPr>
          <w:p>
            <w:pPr>
              <w:spacing w:after="0"/>
              <w:rPr>
                <w:sz w:val="20"/>
                <w:szCs w:val="20"/>
                <w:color w:val="auto"/>
              </w:rPr>
            </w:pPr>
            <w:r>
              <w:rPr>
                <w:rFonts w:ascii="Arial" w:cs="Arial" w:eastAsia="Arial" w:hAnsi="Arial"/>
                <w:sz w:val="18"/>
                <w:szCs w:val="18"/>
                <w:b w:val="1"/>
                <w:bCs w:val="1"/>
                <w:color w:val="FFFFFF"/>
              </w:rPr>
              <w:t>WEBSITE</w:t>
            </w:r>
          </w:p>
        </w:tc>
        <w:tc>
          <w:tcPr>
            <w:tcW w:w="2660" w:type="dxa"/>
            <w:vAlign w:val="bottom"/>
            <w:gridSpan w:val="3"/>
          </w:tcPr>
          <w:p>
            <w:pPr>
              <w:ind w:left="280"/>
              <w:spacing w:after="0"/>
              <w:rPr>
                <w:sz w:val="20"/>
                <w:szCs w:val="20"/>
                <w:color w:val="auto"/>
              </w:rPr>
            </w:pPr>
            <w:r>
              <w:rPr>
                <w:rFonts w:ascii="Arial" w:cs="Arial" w:eastAsia="Arial" w:hAnsi="Arial"/>
                <w:sz w:val="18"/>
                <w:szCs w:val="18"/>
                <w:b w:val="1"/>
                <w:bCs w:val="1"/>
                <w:color w:val="FFFFFF"/>
                <w:w w:val="80"/>
              </w:rPr>
              <w:t>COMMON STOCK MARKET PRICE</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3280" w:type="dxa"/>
            <w:vAlign w:val="bottom"/>
          </w:tcPr>
          <w:p>
            <w:pPr>
              <w:spacing w:after="0"/>
              <w:rPr>
                <w:sz w:val="20"/>
                <w:szCs w:val="20"/>
                <w:color w:val="auto"/>
              </w:rPr>
            </w:pPr>
            <w:r>
              <w:rPr>
                <w:rFonts w:ascii="Arial" w:cs="Arial" w:eastAsia="Arial" w:hAnsi="Arial"/>
                <w:sz w:val="18"/>
                <w:szCs w:val="18"/>
                <w:color w:val="FFFFFF"/>
              </w:rPr>
              <w:t>For more investor information, as well as</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ind w:left="220"/>
              <w:spacing w:after="0"/>
              <w:rPr>
                <w:sz w:val="20"/>
                <w:szCs w:val="20"/>
                <w:color w:val="auto"/>
              </w:rPr>
            </w:pPr>
            <w:r>
              <w:rPr>
                <w:rFonts w:ascii="Arial" w:cs="Arial" w:eastAsia="Arial" w:hAnsi="Arial"/>
                <w:sz w:val="14"/>
                <w:szCs w:val="14"/>
                <w:color w:val="FFFFFF"/>
              </w:rPr>
              <w:t>Sales Price</w:t>
            </w: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color w:val="FFFFFF"/>
                <w:w w:val="92"/>
              </w:rPr>
              <w:t>information about Kirby, visit Kirby’s website</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FFFFFF"/>
              </w:rPr>
              <w:t>High</w:t>
            </w:r>
          </w:p>
        </w:tc>
        <w:tc>
          <w:tcPr>
            <w:tcW w:w="14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FFFFFF"/>
              </w:rPr>
              <w:t>Low</w:t>
            </w: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color w:val="FFFFFF"/>
              </w:rPr>
              <w:t>at www.kirbycorp.com.</w:t>
            </w:r>
          </w:p>
        </w:tc>
        <w:tc>
          <w:tcPr>
            <w:tcW w:w="1740" w:type="dxa"/>
            <w:vAlign w:val="bottom"/>
          </w:tcPr>
          <w:p>
            <w:pPr>
              <w:ind w:left="420"/>
              <w:spacing w:after="0"/>
              <w:rPr>
                <w:sz w:val="20"/>
                <w:szCs w:val="20"/>
                <w:color w:val="auto"/>
              </w:rPr>
            </w:pPr>
            <w:r>
              <w:rPr>
                <w:rFonts w:ascii="Arial" w:cs="Arial" w:eastAsia="Arial" w:hAnsi="Arial"/>
                <w:sz w:val="14"/>
                <w:szCs w:val="14"/>
                <w:b w:val="1"/>
                <w:bCs w:val="1"/>
                <w:color w:val="FFFFFF"/>
              </w:rPr>
              <w:t>2026</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8"/>
                <w:szCs w:val="18"/>
                <w:color w:val="FFFFFF"/>
              </w:rPr>
              <w:t>First Quarter</w:t>
            </w:r>
          </w:p>
        </w:tc>
        <w:tc>
          <w:tcPr>
            <w:tcW w:w="300" w:type="dxa"/>
            <w:vAlign w:val="bottom"/>
          </w:tcPr>
          <w:p>
            <w:pPr>
              <w:jc w:val="right"/>
              <w:spacing w:after="0"/>
              <w:rPr>
                <w:sz w:val="20"/>
                <w:szCs w:val="20"/>
                <w:color w:val="auto"/>
              </w:rPr>
            </w:pPr>
            <w:r>
              <w:rPr>
                <w:rFonts w:ascii="Arial" w:cs="Arial" w:eastAsia="Arial" w:hAnsi="Arial"/>
                <w:sz w:val="18"/>
                <w:szCs w:val="18"/>
                <w:color w:val="FFFFFF"/>
              </w:rPr>
              <w:t>$</w:t>
            </w:r>
          </w:p>
        </w:tc>
        <w:tc>
          <w:tcPr>
            <w:tcW w:w="620" w:type="dxa"/>
            <w:vAlign w:val="bottom"/>
          </w:tcPr>
          <w:p>
            <w:pPr>
              <w:ind w:left="20"/>
              <w:spacing w:after="0"/>
              <w:rPr>
                <w:sz w:val="20"/>
                <w:szCs w:val="20"/>
                <w:color w:val="auto"/>
              </w:rPr>
            </w:pPr>
            <w:r>
              <w:rPr>
                <w:rFonts w:ascii="Arial" w:cs="Arial" w:eastAsia="Arial" w:hAnsi="Arial"/>
                <w:sz w:val="18"/>
                <w:szCs w:val="18"/>
                <w:color w:val="FFFFFF"/>
              </w:rPr>
              <w:t>133.52</w:t>
            </w:r>
          </w:p>
        </w:tc>
        <w:tc>
          <w:tcPr>
            <w:tcW w:w="140" w:type="dxa"/>
            <w:vAlign w:val="bottom"/>
          </w:tcPr>
          <w:p>
            <w:pPr>
              <w:jc w:val="right"/>
              <w:spacing w:after="0"/>
              <w:rPr>
                <w:sz w:val="20"/>
                <w:szCs w:val="20"/>
                <w:color w:val="auto"/>
              </w:rPr>
            </w:pPr>
            <w:r>
              <w:rPr>
                <w:rFonts w:ascii="Arial" w:cs="Arial" w:eastAsia="Arial" w:hAnsi="Arial"/>
                <w:sz w:val="18"/>
                <w:szCs w:val="18"/>
                <w:color w:val="FFFFFF"/>
                <w:w w:val="99"/>
              </w:rPr>
              <w:t>$</w:t>
            </w:r>
          </w:p>
        </w:tc>
        <w:tc>
          <w:tcPr>
            <w:tcW w:w="460" w:type="dxa"/>
            <w:vAlign w:val="bottom"/>
          </w:tcPr>
          <w:p>
            <w:pPr>
              <w:ind w:left="20"/>
              <w:spacing w:after="0"/>
              <w:rPr>
                <w:sz w:val="20"/>
                <w:szCs w:val="20"/>
                <w:color w:val="auto"/>
              </w:rPr>
            </w:pPr>
            <w:r>
              <w:rPr>
                <w:rFonts w:ascii="Arial" w:cs="Arial" w:eastAsia="Arial" w:hAnsi="Arial"/>
                <w:sz w:val="18"/>
                <w:szCs w:val="18"/>
                <w:color w:val="FFFFFF"/>
                <w:w w:val="76"/>
              </w:rPr>
              <w:t>110.53</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1740" w:type="dxa"/>
            <w:vAlign w:val="bottom"/>
          </w:tcPr>
          <w:p>
            <w:pPr>
              <w:ind w:left="420"/>
              <w:spacing w:after="0"/>
              <w:rPr>
                <w:sz w:val="20"/>
                <w:szCs w:val="20"/>
                <w:color w:val="auto"/>
              </w:rPr>
            </w:pPr>
            <w:r>
              <w:rPr>
                <w:rFonts w:ascii="Arial" w:cs="Arial" w:eastAsia="Arial" w:hAnsi="Arial"/>
                <w:sz w:val="12"/>
                <w:szCs w:val="12"/>
                <w:color w:val="FFFFFF"/>
                <w:w w:val="97"/>
              </w:rPr>
              <w:t>(Through March 2, 2026)</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3280" w:type="dxa"/>
            <w:vAlign w:val="bottom"/>
          </w:tcPr>
          <w:p>
            <w:pPr>
              <w:spacing w:after="0"/>
              <w:rPr>
                <w:sz w:val="20"/>
                <w:szCs w:val="20"/>
                <w:color w:val="auto"/>
              </w:rPr>
            </w:pPr>
            <w:r>
              <w:rPr>
                <w:rFonts w:ascii="Arial" w:cs="Arial" w:eastAsia="Arial" w:hAnsi="Arial"/>
                <w:sz w:val="18"/>
                <w:szCs w:val="18"/>
                <w:b w:val="1"/>
                <w:bCs w:val="1"/>
                <w:color w:val="FFFFFF"/>
                <w:w w:val="91"/>
              </w:rPr>
              <w:t>INDEPENDENT REGISTERED ACCOUNTS</w:t>
            </w:r>
          </w:p>
        </w:tc>
        <w:tc>
          <w:tcPr>
            <w:tcW w:w="1740" w:type="dxa"/>
            <w:vAlign w:val="bottom"/>
          </w:tcPr>
          <w:p>
            <w:pPr>
              <w:ind w:left="420"/>
              <w:spacing w:after="0"/>
              <w:rPr>
                <w:sz w:val="20"/>
                <w:szCs w:val="20"/>
                <w:color w:val="auto"/>
              </w:rPr>
            </w:pPr>
            <w:r>
              <w:rPr>
                <w:rFonts w:ascii="Arial" w:cs="Arial" w:eastAsia="Arial" w:hAnsi="Arial"/>
                <w:sz w:val="14"/>
                <w:szCs w:val="14"/>
                <w:b w:val="1"/>
                <w:bCs w:val="1"/>
                <w:color w:val="FFFFFF"/>
              </w:rPr>
              <w:t>2025</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80" w:type="dxa"/>
            <w:vAlign w:val="bottom"/>
            <w:vMerge w:val="restart"/>
          </w:tcPr>
          <w:p>
            <w:pPr>
              <w:spacing w:after="0"/>
              <w:rPr>
                <w:sz w:val="20"/>
                <w:szCs w:val="20"/>
                <w:color w:val="auto"/>
              </w:rPr>
            </w:pPr>
            <w:r>
              <w:rPr>
                <w:rFonts w:ascii="Arial" w:cs="Arial" w:eastAsia="Arial" w:hAnsi="Arial"/>
                <w:sz w:val="18"/>
                <w:szCs w:val="18"/>
                <w:color w:val="FFFFFF"/>
              </w:rPr>
              <w:t>KPMG LLP</w:t>
            </w:r>
          </w:p>
        </w:tc>
        <w:tc>
          <w:tcPr>
            <w:tcW w:w="1740" w:type="dxa"/>
            <w:vAlign w:val="bottom"/>
          </w:tcPr>
          <w:p>
            <w:pPr>
              <w:ind w:left="420"/>
              <w:spacing w:after="0"/>
              <w:rPr>
                <w:sz w:val="20"/>
                <w:szCs w:val="20"/>
                <w:color w:val="auto"/>
              </w:rPr>
            </w:pPr>
            <w:r>
              <w:rPr>
                <w:rFonts w:ascii="Arial" w:cs="Arial" w:eastAsia="Arial" w:hAnsi="Arial"/>
                <w:sz w:val="18"/>
                <w:szCs w:val="18"/>
                <w:color w:val="FFFFFF"/>
              </w:rPr>
              <w:t>First Quarter</w:t>
            </w:r>
          </w:p>
        </w:tc>
        <w:tc>
          <w:tcPr>
            <w:tcW w:w="300" w:type="dxa"/>
            <w:vAlign w:val="bottom"/>
          </w:tcPr>
          <w:p>
            <w:pPr>
              <w:jc w:val="right"/>
              <w:spacing w:after="0"/>
              <w:rPr>
                <w:sz w:val="20"/>
                <w:szCs w:val="20"/>
                <w:color w:val="auto"/>
              </w:rPr>
            </w:pPr>
            <w:r>
              <w:rPr>
                <w:rFonts w:ascii="Arial" w:cs="Arial" w:eastAsia="Arial" w:hAnsi="Arial"/>
                <w:sz w:val="18"/>
                <w:szCs w:val="18"/>
                <w:color w:val="FFFFFF"/>
              </w:rPr>
              <w:t>$</w:t>
            </w:r>
          </w:p>
        </w:tc>
        <w:tc>
          <w:tcPr>
            <w:tcW w:w="620" w:type="dxa"/>
            <w:vAlign w:val="bottom"/>
          </w:tcPr>
          <w:p>
            <w:pPr>
              <w:ind w:left="60"/>
              <w:spacing w:after="0"/>
              <w:rPr>
                <w:sz w:val="20"/>
                <w:szCs w:val="20"/>
                <w:color w:val="auto"/>
              </w:rPr>
            </w:pPr>
            <w:r>
              <w:rPr>
                <w:rFonts w:ascii="Arial" w:cs="Arial" w:eastAsia="Arial" w:hAnsi="Arial"/>
                <w:sz w:val="18"/>
                <w:szCs w:val="18"/>
                <w:color w:val="FFFFFF"/>
                <w:w w:val="98"/>
              </w:rPr>
              <w:t>115.93</w:t>
            </w:r>
          </w:p>
        </w:tc>
        <w:tc>
          <w:tcPr>
            <w:tcW w:w="140" w:type="dxa"/>
            <w:vAlign w:val="bottom"/>
          </w:tcPr>
          <w:p>
            <w:pPr>
              <w:jc w:val="right"/>
              <w:spacing w:after="0"/>
              <w:rPr>
                <w:sz w:val="20"/>
                <w:szCs w:val="20"/>
                <w:color w:val="auto"/>
              </w:rPr>
            </w:pPr>
            <w:r>
              <w:rPr>
                <w:rFonts w:ascii="Arial" w:cs="Arial" w:eastAsia="Arial" w:hAnsi="Arial"/>
                <w:sz w:val="18"/>
                <w:szCs w:val="18"/>
                <w:color w:val="FFFFFF"/>
                <w:w w:val="99"/>
              </w:rPr>
              <w:t>$</w:t>
            </w:r>
          </w:p>
        </w:tc>
        <w:tc>
          <w:tcPr>
            <w:tcW w:w="460" w:type="dxa"/>
            <w:vAlign w:val="bottom"/>
          </w:tcPr>
          <w:p>
            <w:pPr>
              <w:ind w:left="60"/>
              <w:spacing w:after="0"/>
              <w:rPr>
                <w:sz w:val="20"/>
                <w:szCs w:val="20"/>
                <w:color w:val="auto"/>
              </w:rPr>
            </w:pPr>
            <w:r>
              <w:rPr>
                <w:rFonts w:ascii="Arial" w:cs="Arial" w:eastAsia="Arial" w:hAnsi="Arial"/>
                <w:sz w:val="18"/>
                <w:szCs w:val="18"/>
                <w:color w:val="FFFFFF"/>
                <w:w w:val="84"/>
              </w:rPr>
              <w:t>93.85</w:t>
            </w:r>
          </w:p>
        </w:tc>
        <w:tc>
          <w:tcPr>
            <w:tcW w:w="0" w:type="dxa"/>
            <w:vAlign w:val="bottom"/>
          </w:tcPr>
          <w:p>
            <w:pPr>
              <w:spacing w:after="0"/>
              <w:rPr>
                <w:sz w:val="1"/>
                <w:szCs w:val="1"/>
                <w:color w:val="auto"/>
              </w:rPr>
            </w:pPr>
          </w:p>
        </w:tc>
      </w:tr>
      <w:tr>
        <w:trPr>
          <w:trHeight w:val="144"/>
        </w:trPr>
        <w:tc>
          <w:tcPr>
            <w:tcW w:w="3280" w:type="dxa"/>
            <w:vAlign w:val="bottom"/>
            <w:vMerge w:val="continue"/>
          </w:tcPr>
          <w:p>
            <w:pPr>
              <w:spacing w:after="0"/>
              <w:rPr>
                <w:sz w:val="12"/>
                <w:szCs w:val="12"/>
                <w:color w:val="auto"/>
              </w:rPr>
            </w:pPr>
          </w:p>
        </w:tc>
        <w:tc>
          <w:tcPr>
            <w:tcW w:w="1740" w:type="dxa"/>
            <w:vAlign w:val="bottom"/>
            <w:vMerge w:val="restart"/>
          </w:tcPr>
          <w:p>
            <w:pPr>
              <w:ind w:left="420"/>
              <w:spacing w:after="0"/>
              <w:rPr>
                <w:sz w:val="20"/>
                <w:szCs w:val="20"/>
                <w:color w:val="auto"/>
              </w:rPr>
            </w:pPr>
            <w:r>
              <w:rPr>
                <w:rFonts w:ascii="Arial" w:cs="Arial" w:eastAsia="Arial" w:hAnsi="Arial"/>
                <w:sz w:val="18"/>
                <w:szCs w:val="18"/>
                <w:color w:val="FFFFFF"/>
              </w:rPr>
              <w:t>Second Quarter</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FFFFFF"/>
              </w:rPr>
              <w:t>$</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FFFFFF"/>
                <w:w w:val="98"/>
              </w:rPr>
              <w:t>116.33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FFFFFF"/>
                <w:w w:val="99"/>
              </w:rPr>
              <w:t>$</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FFFFFF"/>
                <w:w w:val="84"/>
              </w:rPr>
              <w:t>83.94</w:t>
            </w:r>
          </w:p>
        </w:tc>
        <w:tc>
          <w:tcPr>
            <w:tcW w:w="0" w:type="dxa"/>
            <w:vAlign w:val="bottom"/>
          </w:tcPr>
          <w:p>
            <w:pPr>
              <w:spacing w:after="0"/>
              <w:rPr>
                <w:sz w:val="1"/>
                <w:szCs w:val="1"/>
                <w:color w:val="auto"/>
              </w:rPr>
            </w:pPr>
          </w:p>
        </w:tc>
      </w:tr>
      <w:tr>
        <w:trPr>
          <w:trHeight w:val="76"/>
        </w:trPr>
        <w:tc>
          <w:tcPr>
            <w:tcW w:w="3280" w:type="dxa"/>
            <w:vAlign w:val="bottom"/>
            <w:vMerge w:val="restart"/>
          </w:tcPr>
          <w:p>
            <w:pPr>
              <w:spacing w:after="0"/>
              <w:rPr>
                <w:sz w:val="20"/>
                <w:szCs w:val="20"/>
                <w:color w:val="auto"/>
              </w:rPr>
            </w:pPr>
            <w:r>
              <w:rPr>
                <w:rFonts w:ascii="Arial" w:cs="Arial" w:eastAsia="Arial" w:hAnsi="Arial"/>
                <w:sz w:val="18"/>
                <w:szCs w:val="18"/>
                <w:color w:val="FFFFFF"/>
              </w:rPr>
              <w:t>BG Group Place</w:t>
            </w:r>
          </w:p>
        </w:tc>
        <w:tc>
          <w:tcPr>
            <w:tcW w:w="17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280" w:type="dxa"/>
            <w:vAlign w:val="bottom"/>
            <w:vMerge w:val="continue"/>
          </w:tcPr>
          <w:p>
            <w:pPr>
              <w:spacing w:after="0"/>
              <w:rPr>
                <w:sz w:val="12"/>
                <w:szCs w:val="12"/>
                <w:color w:val="auto"/>
              </w:rPr>
            </w:pPr>
          </w:p>
        </w:tc>
        <w:tc>
          <w:tcPr>
            <w:tcW w:w="1740" w:type="dxa"/>
            <w:vAlign w:val="bottom"/>
            <w:vMerge w:val="restart"/>
          </w:tcPr>
          <w:p>
            <w:pPr>
              <w:ind w:left="420"/>
              <w:spacing w:after="0"/>
              <w:rPr>
                <w:sz w:val="20"/>
                <w:szCs w:val="20"/>
                <w:color w:val="auto"/>
              </w:rPr>
            </w:pPr>
            <w:r>
              <w:rPr>
                <w:rFonts w:ascii="Arial" w:cs="Arial" w:eastAsia="Arial" w:hAnsi="Arial"/>
                <w:sz w:val="18"/>
                <w:szCs w:val="18"/>
                <w:color w:val="FFFFFF"/>
              </w:rPr>
              <w:t>Third Quarter</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FFFFFF"/>
              </w:rPr>
              <w:t>$</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FFFFFF"/>
                <w:w w:val="98"/>
              </w:rPr>
              <w:t>122.50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FFFFFF"/>
                <w:w w:val="99"/>
              </w:rPr>
              <w:t>$</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FFFFFF"/>
                <w:w w:val="84"/>
              </w:rPr>
              <w:t>81.90</w:t>
            </w:r>
          </w:p>
        </w:tc>
        <w:tc>
          <w:tcPr>
            <w:tcW w:w="0" w:type="dxa"/>
            <w:vAlign w:val="bottom"/>
          </w:tcPr>
          <w:p>
            <w:pPr>
              <w:spacing w:after="0"/>
              <w:rPr>
                <w:sz w:val="1"/>
                <w:szCs w:val="1"/>
                <w:color w:val="auto"/>
              </w:rPr>
            </w:pPr>
          </w:p>
        </w:tc>
      </w:tr>
      <w:tr>
        <w:trPr>
          <w:trHeight w:val="76"/>
        </w:trPr>
        <w:tc>
          <w:tcPr>
            <w:tcW w:w="3280" w:type="dxa"/>
            <w:vAlign w:val="bottom"/>
            <w:vMerge w:val="restart"/>
          </w:tcPr>
          <w:p>
            <w:pPr>
              <w:spacing w:after="0"/>
              <w:rPr>
                <w:sz w:val="20"/>
                <w:szCs w:val="20"/>
                <w:color w:val="auto"/>
              </w:rPr>
            </w:pPr>
            <w:r>
              <w:rPr>
                <w:rFonts w:ascii="Arial" w:cs="Arial" w:eastAsia="Arial" w:hAnsi="Arial"/>
                <w:sz w:val="18"/>
                <w:szCs w:val="18"/>
                <w:color w:val="FFFFFF"/>
              </w:rPr>
              <w:t>811 Main Street, Suite 4500</w:t>
            </w:r>
          </w:p>
        </w:tc>
        <w:tc>
          <w:tcPr>
            <w:tcW w:w="17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280" w:type="dxa"/>
            <w:vAlign w:val="bottom"/>
            <w:vMerge w:val="continue"/>
          </w:tcPr>
          <w:p>
            <w:pPr>
              <w:spacing w:after="0"/>
              <w:rPr>
                <w:sz w:val="12"/>
                <w:szCs w:val="12"/>
                <w:color w:val="auto"/>
              </w:rPr>
            </w:pPr>
          </w:p>
        </w:tc>
        <w:tc>
          <w:tcPr>
            <w:tcW w:w="1740" w:type="dxa"/>
            <w:vAlign w:val="bottom"/>
            <w:vMerge w:val="restart"/>
          </w:tcPr>
          <w:p>
            <w:pPr>
              <w:ind w:left="420"/>
              <w:spacing w:after="0" w:line="197" w:lineRule="exact"/>
              <w:rPr>
                <w:sz w:val="20"/>
                <w:szCs w:val="20"/>
                <w:color w:val="auto"/>
              </w:rPr>
            </w:pPr>
            <w:r>
              <w:rPr>
                <w:rFonts w:ascii="Arial" w:cs="Arial" w:eastAsia="Arial" w:hAnsi="Arial"/>
                <w:sz w:val="18"/>
                <w:szCs w:val="18"/>
                <w:color w:val="FFFFFF"/>
              </w:rPr>
              <w:t>Fourth Quarter</w:t>
            </w:r>
          </w:p>
        </w:tc>
        <w:tc>
          <w:tcPr>
            <w:tcW w:w="300" w:type="dxa"/>
            <w:vAlign w:val="bottom"/>
            <w:vMerge w:val="restart"/>
          </w:tcPr>
          <w:p>
            <w:pPr>
              <w:jc w:val="right"/>
              <w:spacing w:after="0" w:line="197" w:lineRule="exact"/>
              <w:rPr>
                <w:sz w:val="20"/>
                <w:szCs w:val="20"/>
                <w:color w:val="auto"/>
              </w:rPr>
            </w:pPr>
            <w:r>
              <w:rPr>
                <w:rFonts w:ascii="Arial" w:cs="Arial" w:eastAsia="Arial" w:hAnsi="Arial"/>
                <w:sz w:val="18"/>
                <w:szCs w:val="18"/>
                <w:color w:val="FFFFFF"/>
              </w:rPr>
              <w:t>$</w:t>
            </w:r>
          </w:p>
        </w:tc>
        <w:tc>
          <w:tcPr>
            <w:tcW w:w="620" w:type="dxa"/>
            <w:vAlign w:val="bottom"/>
            <w:vMerge w:val="restart"/>
          </w:tcPr>
          <w:p>
            <w:pPr>
              <w:ind w:left="60"/>
              <w:spacing w:after="0" w:line="197" w:lineRule="exact"/>
              <w:rPr>
                <w:sz w:val="20"/>
                <w:szCs w:val="20"/>
                <w:color w:val="auto"/>
              </w:rPr>
            </w:pPr>
            <w:r>
              <w:rPr>
                <w:rFonts w:ascii="Arial" w:cs="Arial" w:eastAsia="Arial" w:hAnsi="Arial"/>
                <w:sz w:val="18"/>
                <w:szCs w:val="18"/>
                <w:color w:val="FFFFFF"/>
                <w:w w:val="98"/>
              </w:rPr>
              <w:t>115.18</w:t>
            </w:r>
          </w:p>
        </w:tc>
        <w:tc>
          <w:tcPr>
            <w:tcW w:w="140" w:type="dxa"/>
            <w:vAlign w:val="bottom"/>
            <w:vMerge w:val="restart"/>
          </w:tcPr>
          <w:p>
            <w:pPr>
              <w:jc w:val="right"/>
              <w:spacing w:after="0" w:line="197" w:lineRule="exact"/>
              <w:rPr>
                <w:sz w:val="20"/>
                <w:szCs w:val="20"/>
                <w:color w:val="auto"/>
              </w:rPr>
            </w:pPr>
            <w:r>
              <w:rPr>
                <w:rFonts w:ascii="Arial" w:cs="Arial" w:eastAsia="Arial" w:hAnsi="Arial"/>
                <w:sz w:val="18"/>
                <w:szCs w:val="18"/>
                <w:color w:val="FFFFFF"/>
                <w:w w:val="99"/>
              </w:rPr>
              <w:t>$</w:t>
            </w:r>
          </w:p>
        </w:tc>
        <w:tc>
          <w:tcPr>
            <w:tcW w:w="460" w:type="dxa"/>
            <w:vAlign w:val="bottom"/>
            <w:vMerge w:val="restart"/>
          </w:tcPr>
          <w:p>
            <w:pPr>
              <w:ind w:left="60"/>
              <w:spacing w:after="0" w:line="197" w:lineRule="exact"/>
              <w:rPr>
                <w:sz w:val="20"/>
                <w:szCs w:val="20"/>
                <w:color w:val="auto"/>
              </w:rPr>
            </w:pPr>
            <w:r>
              <w:rPr>
                <w:rFonts w:ascii="Arial" w:cs="Arial" w:eastAsia="Arial" w:hAnsi="Arial"/>
                <w:sz w:val="18"/>
                <w:szCs w:val="18"/>
                <w:color w:val="FFFFFF"/>
                <w:w w:val="84"/>
              </w:rPr>
              <w:t>79.52</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3" w:lineRule="auto"/>
        <w:rPr>
          <w:sz w:val="20"/>
          <w:szCs w:val="20"/>
          <w:color w:val="auto"/>
        </w:rPr>
      </w:pPr>
      <w:r>
        <w:rPr>
          <w:rFonts w:ascii="Arial" w:cs="Arial" w:eastAsia="Arial" w:hAnsi="Arial"/>
          <w:sz w:val="18"/>
          <w:szCs w:val="18"/>
          <w:color w:val="FFFFFF"/>
        </w:rPr>
        <w:t>Houston, Texas 77002</w:t>
      </w:r>
    </w:p>
    <w:p>
      <w:pPr>
        <w:spacing w:after="0" w:line="122"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FFFFFF"/>
        </w:rPr>
        <w:t>2024</w:t>
      </w:r>
    </w:p>
    <w:p>
      <w:pPr>
        <w:spacing w:after="0" w:line="22" w:lineRule="exact"/>
        <w:rPr>
          <w:sz w:val="20"/>
          <w:szCs w:val="20"/>
          <w:color w:val="auto"/>
        </w:rPr>
      </w:pPr>
    </w:p>
    <w:p>
      <w:pPr>
        <w:sectPr>
          <w:pgSz w:w="12240" w:h="15840" w:orient="portrait"/>
          <w:cols w:equalWidth="0" w:num="2">
            <w:col w:w="3140" w:space="440"/>
            <w:col w:w="6620"/>
          </w:cols>
          <w:pgMar w:left="1100" w:top="769" w:right="940" w:bottom="1440" w:gutter="0" w:footer="0" w:header="0"/>
          <w:type w:val="continuous"/>
        </w:sectPr>
      </w:pPr>
    </w:p>
    <w:p>
      <w:pPr>
        <w:ind w:left="300"/>
        <w:spacing w:after="0"/>
        <w:rPr>
          <w:sz w:val="20"/>
          <w:szCs w:val="20"/>
          <w:color w:val="auto"/>
        </w:rPr>
      </w:pPr>
      <w:r>
        <w:rPr>
          <w:rFonts w:ascii="Arial" w:cs="Arial" w:eastAsia="Arial" w:hAnsi="Arial"/>
          <w:sz w:val="18"/>
          <w:szCs w:val="18"/>
          <w:color w:val="FFFFFF"/>
        </w:rPr>
        <w:t>Houston, Texas 77007</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Telephone: 713-435-1000</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Fax: 713-435-1010</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Website: www.kirbycorp.com</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Mailing Address: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P.O. Box 1745</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Houston, Texas 77251-1745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INQUIRES REGARDING STOCK HOLDINGS</w:t>
      </w:r>
    </w:p>
    <w:p>
      <w:pPr>
        <w:spacing w:after="0" w:line="245" w:lineRule="exact"/>
        <w:rPr>
          <w:sz w:val="20"/>
          <w:szCs w:val="20"/>
          <w:color w:val="auto"/>
        </w:rPr>
      </w:pPr>
    </w:p>
    <w:p>
      <w:pPr>
        <w:ind w:left="20" w:right="360"/>
        <w:spacing w:after="0" w:line="294" w:lineRule="auto"/>
        <w:rPr>
          <w:sz w:val="20"/>
          <w:szCs w:val="20"/>
          <w:color w:val="auto"/>
        </w:rPr>
      </w:pPr>
      <w:r>
        <w:rPr>
          <w:rFonts w:ascii="Arial" w:cs="Arial" w:eastAsia="Arial" w:hAnsi="Arial"/>
          <w:sz w:val="16"/>
          <w:szCs w:val="16"/>
          <w:color w:val="FFFFFF"/>
        </w:rPr>
        <w:t>Registered stockholders (shares held in owner’s name) should address communications concerning address changes, lost certificates, and stock transfers to:</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Proxy Services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COMMON STOCK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FFFFFF"/>
        </w:rPr>
        <w:t>Stock trading symbol—KEX</w:t>
      </w:r>
    </w:p>
    <w:p>
      <w:pPr>
        <w:spacing w:after="0" w:line="13" w:lineRule="exact"/>
        <w:rPr>
          <w:sz w:val="20"/>
          <w:szCs w:val="20"/>
          <w:color w:val="auto"/>
        </w:rPr>
      </w:pPr>
    </w:p>
    <w:p>
      <w:pPr>
        <w:spacing w:after="0" w:line="291" w:lineRule="auto"/>
        <w:rPr>
          <w:sz w:val="20"/>
          <w:szCs w:val="20"/>
          <w:color w:val="auto"/>
        </w:rPr>
      </w:pPr>
      <w:r>
        <w:rPr>
          <w:rFonts w:ascii="Arial" w:cs="Arial" w:eastAsia="Arial" w:hAnsi="Arial"/>
          <w:sz w:val="16"/>
          <w:szCs w:val="16"/>
          <w:color w:val="FFFFFF"/>
        </w:rPr>
        <w:t>The New York Stock Exchange is the principal market for Kirby’s common stock. As of March 2, 2026, the Company had 53,621,000 outstanding common shares held by approximately 294 registered stockholders. The number of registered stockholders does not reflect the number of beneficial owners of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09"/>
        </w:trPr>
        <w:tc>
          <w:tcPr>
            <w:tcW w:w="1300" w:type="dxa"/>
            <w:vAlign w:val="bottom"/>
          </w:tcPr>
          <w:p>
            <w:pPr>
              <w:spacing w:after="0"/>
              <w:rPr>
                <w:sz w:val="20"/>
                <w:szCs w:val="20"/>
                <w:color w:val="auto"/>
              </w:rPr>
            </w:pPr>
            <w:r>
              <w:rPr>
                <w:rFonts w:ascii="Arial" w:cs="Arial" w:eastAsia="Arial" w:hAnsi="Arial"/>
                <w:sz w:val="18"/>
                <w:szCs w:val="18"/>
                <w:color w:val="FFFFFF"/>
              </w:rPr>
              <w:t>First Quarter</w:t>
            </w:r>
          </w:p>
        </w:tc>
        <w:tc>
          <w:tcPr>
            <w:tcW w:w="340" w:type="dxa"/>
            <w:vAlign w:val="bottom"/>
          </w:tcPr>
          <w:p>
            <w:pPr>
              <w:jc w:val="right"/>
              <w:spacing w:after="0"/>
              <w:rPr>
                <w:sz w:val="20"/>
                <w:szCs w:val="20"/>
                <w:color w:val="auto"/>
              </w:rPr>
            </w:pPr>
            <w:r>
              <w:rPr>
                <w:rFonts w:ascii="Arial" w:cs="Arial" w:eastAsia="Arial" w:hAnsi="Arial"/>
                <w:sz w:val="18"/>
                <w:szCs w:val="18"/>
                <w:color w:val="FFFFFF"/>
              </w:rPr>
              <w:t>$</w:t>
            </w:r>
          </w:p>
        </w:tc>
        <w:tc>
          <w:tcPr>
            <w:tcW w:w="560" w:type="dxa"/>
            <w:vAlign w:val="bottom"/>
          </w:tcPr>
          <w:p>
            <w:pPr>
              <w:ind w:left="40"/>
              <w:spacing w:after="0"/>
              <w:rPr>
                <w:sz w:val="20"/>
                <w:szCs w:val="20"/>
                <w:color w:val="auto"/>
              </w:rPr>
            </w:pPr>
            <w:r>
              <w:rPr>
                <w:rFonts w:ascii="Arial" w:cs="Arial" w:eastAsia="Arial" w:hAnsi="Arial"/>
                <w:sz w:val="18"/>
                <w:szCs w:val="18"/>
                <w:color w:val="FFFFFF"/>
              </w:rPr>
              <w:t>95.79</w:t>
            </w:r>
          </w:p>
        </w:tc>
        <w:tc>
          <w:tcPr>
            <w:tcW w:w="200" w:type="dxa"/>
            <w:vAlign w:val="bottom"/>
          </w:tcPr>
          <w:p>
            <w:pPr>
              <w:jc w:val="right"/>
              <w:spacing w:after="0"/>
              <w:rPr>
                <w:sz w:val="20"/>
                <w:szCs w:val="20"/>
                <w:color w:val="auto"/>
              </w:rPr>
            </w:pPr>
            <w:r>
              <w:rPr>
                <w:rFonts w:ascii="Arial" w:cs="Arial" w:eastAsia="Arial" w:hAnsi="Arial"/>
                <w:sz w:val="18"/>
                <w:szCs w:val="18"/>
                <w:color w:val="FFFFFF"/>
              </w:rPr>
              <w:t>$</w:t>
            </w:r>
          </w:p>
        </w:tc>
        <w:tc>
          <w:tcPr>
            <w:tcW w:w="480" w:type="dxa"/>
            <w:vAlign w:val="bottom"/>
          </w:tcPr>
          <w:p>
            <w:pPr>
              <w:ind w:left="40"/>
              <w:spacing w:after="0"/>
              <w:rPr>
                <w:sz w:val="20"/>
                <w:szCs w:val="20"/>
                <w:color w:val="auto"/>
              </w:rPr>
            </w:pPr>
            <w:r>
              <w:rPr>
                <w:rFonts w:ascii="Arial" w:cs="Arial" w:eastAsia="Arial" w:hAnsi="Arial"/>
                <w:sz w:val="18"/>
                <w:szCs w:val="18"/>
                <w:color w:val="FFFFFF"/>
                <w:w w:val="93"/>
              </w:rPr>
              <w:t>74.88</w:t>
            </w:r>
          </w:p>
        </w:tc>
      </w:tr>
      <w:tr>
        <w:trPr>
          <w:trHeight w:val="220"/>
        </w:trPr>
        <w:tc>
          <w:tcPr>
            <w:tcW w:w="1300" w:type="dxa"/>
            <w:vAlign w:val="bottom"/>
          </w:tcPr>
          <w:p>
            <w:pPr>
              <w:spacing w:after="0"/>
              <w:rPr>
                <w:sz w:val="20"/>
                <w:szCs w:val="20"/>
                <w:color w:val="auto"/>
              </w:rPr>
            </w:pPr>
            <w:r>
              <w:rPr>
                <w:rFonts w:ascii="Arial" w:cs="Arial" w:eastAsia="Arial" w:hAnsi="Arial"/>
                <w:sz w:val="18"/>
                <w:szCs w:val="18"/>
                <w:color w:val="FFFFFF"/>
              </w:rPr>
              <w:t>Second Quarter</w:t>
            </w:r>
          </w:p>
        </w:tc>
        <w:tc>
          <w:tcPr>
            <w:tcW w:w="340" w:type="dxa"/>
            <w:vAlign w:val="bottom"/>
          </w:tcPr>
          <w:p>
            <w:pPr>
              <w:jc w:val="right"/>
              <w:spacing w:after="0"/>
              <w:rPr>
                <w:sz w:val="20"/>
                <w:szCs w:val="20"/>
                <w:color w:val="auto"/>
              </w:rPr>
            </w:pPr>
            <w:r>
              <w:rPr>
                <w:rFonts w:ascii="Arial" w:cs="Arial" w:eastAsia="Arial" w:hAnsi="Arial"/>
                <w:sz w:val="18"/>
                <w:szCs w:val="18"/>
                <w:color w:val="FFFFFF"/>
              </w:rPr>
              <w:t>$</w:t>
            </w:r>
          </w:p>
        </w:tc>
        <w:tc>
          <w:tcPr>
            <w:tcW w:w="560" w:type="dxa"/>
            <w:vAlign w:val="bottom"/>
          </w:tcPr>
          <w:p>
            <w:pPr>
              <w:ind w:left="40"/>
              <w:spacing w:after="0"/>
              <w:rPr>
                <w:sz w:val="20"/>
                <w:szCs w:val="20"/>
                <w:color w:val="auto"/>
              </w:rPr>
            </w:pPr>
            <w:r>
              <w:rPr>
                <w:rFonts w:ascii="Arial" w:cs="Arial" w:eastAsia="Arial" w:hAnsi="Arial"/>
                <w:sz w:val="18"/>
                <w:szCs w:val="18"/>
                <w:color w:val="FFFFFF"/>
                <w:w w:val="90"/>
              </w:rPr>
              <w:t>124.92</w:t>
            </w:r>
          </w:p>
        </w:tc>
        <w:tc>
          <w:tcPr>
            <w:tcW w:w="200" w:type="dxa"/>
            <w:vAlign w:val="bottom"/>
          </w:tcPr>
          <w:p>
            <w:pPr>
              <w:jc w:val="right"/>
              <w:spacing w:after="0"/>
              <w:rPr>
                <w:sz w:val="20"/>
                <w:szCs w:val="20"/>
                <w:color w:val="auto"/>
              </w:rPr>
            </w:pPr>
            <w:r>
              <w:rPr>
                <w:rFonts w:ascii="Arial" w:cs="Arial" w:eastAsia="Arial" w:hAnsi="Arial"/>
                <w:sz w:val="18"/>
                <w:szCs w:val="18"/>
                <w:color w:val="FFFFFF"/>
              </w:rPr>
              <w:t>$</w:t>
            </w:r>
          </w:p>
        </w:tc>
        <w:tc>
          <w:tcPr>
            <w:tcW w:w="480" w:type="dxa"/>
            <w:vAlign w:val="bottom"/>
          </w:tcPr>
          <w:p>
            <w:pPr>
              <w:ind w:left="40"/>
              <w:spacing w:after="0"/>
              <w:rPr>
                <w:sz w:val="20"/>
                <w:szCs w:val="20"/>
                <w:color w:val="auto"/>
              </w:rPr>
            </w:pPr>
            <w:r>
              <w:rPr>
                <w:rFonts w:ascii="Arial" w:cs="Arial" w:eastAsia="Arial" w:hAnsi="Arial"/>
                <w:sz w:val="18"/>
                <w:szCs w:val="18"/>
                <w:color w:val="FFFFFF"/>
                <w:w w:val="93"/>
              </w:rPr>
              <w:t>93.63</w:t>
            </w:r>
          </w:p>
        </w:tc>
      </w:tr>
      <w:tr>
        <w:trPr>
          <w:trHeight w:val="220"/>
        </w:trPr>
        <w:tc>
          <w:tcPr>
            <w:tcW w:w="1300" w:type="dxa"/>
            <w:vAlign w:val="bottom"/>
          </w:tcPr>
          <w:p>
            <w:pPr>
              <w:spacing w:after="0"/>
              <w:rPr>
                <w:sz w:val="20"/>
                <w:szCs w:val="20"/>
                <w:color w:val="auto"/>
              </w:rPr>
            </w:pPr>
            <w:r>
              <w:rPr>
                <w:rFonts w:ascii="Arial" w:cs="Arial" w:eastAsia="Arial" w:hAnsi="Arial"/>
                <w:sz w:val="18"/>
                <w:szCs w:val="18"/>
                <w:color w:val="FFFFFF"/>
              </w:rPr>
              <w:t>Third Quarter</w:t>
            </w:r>
          </w:p>
        </w:tc>
        <w:tc>
          <w:tcPr>
            <w:tcW w:w="340" w:type="dxa"/>
            <w:vAlign w:val="bottom"/>
          </w:tcPr>
          <w:p>
            <w:pPr>
              <w:jc w:val="right"/>
              <w:spacing w:after="0"/>
              <w:rPr>
                <w:sz w:val="20"/>
                <w:szCs w:val="20"/>
                <w:color w:val="auto"/>
              </w:rPr>
            </w:pPr>
            <w:r>
              <w:rPr>
                <w:rFonts w:ascii="Arial" w:cs="Arial" w:eastAsia="Arial" w:hAnsi="Arial"/>
                <w:sz w:val="18"/>
                <w:szCs w:val="18"/>
                <w:color w:val="FFFFFF"/>
              </w:rPr>
              <w:t>$</w:t>
            </w:r>
          </w:p>
        </w:tc>
        <w:tc>
          <w:tcPr>
            <w:tcW w:w="560" w:type="dxa"/>
            <w:vAlign w:val="bottom"/>
          </w:tcPr>
          <w:p>
            <w:pPr>
              <w:ind w:left="40"/>
              <w:spacing w:after="0"/>
              <w:rPr>
                <w:sz w:val="20"/>
                <w:szCs w:val="20"/>
                <w:color w:val="auto"/>
              </w:rPr>
            </w:pPr>
            <w:r>
              <w:rPr>
                <w:rFonts w:ascii="Arial" w:cs="Arial" w:eastAsia="Arial" w:hAnsi="Arial"/>
                <w:sz w:val="18"/>
                <w:szCs w:val="18"/>
                <w:color w:val="FFFFFF"/>
                <w:w w:val="90"/>
              </w:rPr>
              <w:t>130.90</w:t>
            </w:r>
          </w:p>
        </w:tc>
        <w:tc>
          <w:tcPr>
            <w:tcW w:w="200" w:type="dxa"/>
            <w:vAlign w:val="bottom"/>
          </w:tcPr>
          <w:p>
            <w:pPr>
              <w:jc w:val="right"/>
              <w:spacing w:after="0"/>
              <w:rPr>
                <w:sz w:val="20"/>
                <w:szCs w:val="20"/>
                <w:color w:val="auto"/>
              </w:rPr>
            </w:pPr>
            <w:r>
              <w:rPr>
                <w:rFonts w:ascii="Arial" w:cs="Arial" w:eastAsia="Arial" w:hAnsi="Arial"/>
                <w:sz w:val="18"/>
                <w:szCs w:val="18"/>
                <w:color w:val="FFFFFF"/>
              </w:rPr>
              <w:t>$</w:t>
            </w:r>
          </w:p>
        </w:tc>
        <w:tc>
          <w:tcPr>
            <w:tcW w:w="480" w:type="dxa"/>
            <w:vAlign w:val="bottom"/>
          </w:tcPr>
          <w:p>
            <w:pPr>
              <w:ind w:left="40"/>
              <w:spacing w:after="0"/>
              <w:rPr>
                <w:sz w:val="20"/>
                <w:szCs w:val="20"/>
                <w:color w:val="auto"/>
              </w:rPr>
            </w:pPr>
            <w:r>
              <w:rPr>
                <w:rFonts w:ascii="Arial" w:cs="Arial" w:eastAsia="Arial" w:hAnsi="Arial"/>
                <w:sz w:val="18"/>
                <w:szCs w:val="18"/>
                <w:color w:val="FFFFFF"/>
                <w:w w:val="76"/>
              </w:rPr>
              <w:t>102.74</w:t>
            </w:r>
          </w:p>
        </w:tc>
      </w:tr>
      <w:tr>
        <w:trPr>
          <w:trHeight w:val="220"/>
        </w:trPr>
        <w:tc>
          <w:tcPr>
            <w:tcW w:w="1300" w:type="dxa"/>
            <w:vAlign w:val="bottom"/>
          </w:tcPr>
          <w:p>
            <w:pPr>
              <w:spacing w:after="0"/>
              <w:rPr>
                <w:sz w:val="20"/>
                <w:szCs w:val="20"/>
                <w:color w:val="auto"/>
              </w:rPr>
            </w:pPr>
            <w:r>
              <w:rPr>
                <w:rFonts w:ascii="Arial" w:cs="Arial" w:eastAsia="Arial" w:hAnsi="Arial"/>
                <w:sz w:val="18"/>
                <w:szCs w:val="18"/>
                <w:color w:val="FFFFFF"/>
              </w:rPr>
              <w:t>Fourth Quarter</w:t>
            </w:r>
          </w:p>
        </w:tc>
        <w:tc>
          <w:tcPr>
            <w:tcW w:w="340" w:type="dxa"/>
            <w:vAlign w:val="bottom"/>
          </w:tcPr>
          <w:p>
            <w:pPr>
              <w:jc w:val="right"/>
              <w:spacing w:after="0"/>
              <w:rPr>
                <w:sz w:val="20"/>
                <w:szCs w:val="20"/>
                <w:color w:val="auto"/>
              </w:rPr>
            </w:pPr>
            <w:r>
              <w:rPr>
                <w:rFonts w:ascii="Arial" w:cs="Arial" w:eastAsia="Arial" w:hAnsi="Arial"/>
                <w:sz w:val="18"/>
                <w:szCs w:val="18"/>
                <w:color w:val="FFFFFF"/>
              </w:rPr>
              <w:t>$</w:t>
            </w:r>
          </w:p>
        </w:tc>
        <w:tc>
          <w:tcPr>
            <w:tcW w:w="560" w:type="dxa"/>
            <w:vAlign w:val="bottom"/>
          </w:tcPr>
          <w:p>
            <w:pPr>
              <w:ind w:left="40"/>
              <w:spacing w:after="0"/>
              <w:rPr>
                <w:sz w:val="20"/>
                <w:szCs w:val="20"/>
                <w:color w:val="auto"/>
              </w:rPr>
            </w:pPr>
            <w:r>
              <w:rPr>
                <w:rFonts w:ascii="Arial" w:cs="Arial" w:eastAsia="Arial" w:hAnsi="Arial"/>
                <w:sz w:val="18"/>
                <w:szCs w:val="18"/>
                <w:color w:val="FFFFFF"/>
                <w:w w:val="90"/>
              </w:rPr>
              <w:t>132.21</w:t>
            </w:r>
          </w:p>
        </w:tc>
        <w:tc>
          <w:tcPr>
            <w:tcW w:w="200" w:type="dxa"/>
            <w:vAlign w:val="bottom"/>
          </w:tcPr>
          <w:p>
            <w:pPr>
              <w:jc w:val="right"/>
              <w:spacing w:after="0"/>
              <w:rPr>
                <w:sz w:val="20"/>
                <w:szCs w:val="20"/>
                <w:color w:val="auto"/>
              </w:rPr>
            </w:pPr>
            <w:r>
              <w:rPr>
                <w:rFonts w:ascii="Arial" w:cs="Arial" w:eastAsia="Arial" w:hAnsi="Arial"/>
                <w:sz w:val="18"/>
                <w:szCs w:val="18"/>
                <w:color w:val="FFFFFF"/>
              </w:rPr>
              <w:t>$</w:t>
            </w:r>
          </w:p>
        </w:tc>
        <w:tc>
          <w:tcPr>
            <w:tcW w:w="480" w:type="dxa"/>
            <w:vAlign w:val="bottom"/>
          </w:tcPr>
          <w:p>
            <w:pPr>
              <w:ind w:left="40"/>
              <w:spacing w:after="0"/>
              <w:rPr>
                <w:sz w:val="20"/>
                <w:szCs w:val="20"/>
                <w:color w:val="auto"/>
              </w:rPr>
            </w:pPr>
            <w:r>
              <w:rPr>
                <w:rFonts w:ascii="Arial" w:cs="Arial" w:eastAsia="Arial" w:hAnsi="Arial"/>
                <w:sz w:val="18"/>
                <w:szCs w:val="18"/>
                <w:color w:val="FFFFFF"/>
                <w:w w:val="76"/>
              </w:rPr>
              <w:t>103.74</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FINANCIAL AND INVESTOR RELATIONS</w:t>
      </w:r>
    </w:p>
    <w:p>
      <w:pPr>
        <w:spacing w:after="0" w:line="234" w:lineRule="exact"/>
        <w:rPr>
          <w:sz w:val="20"/>
          <w:szCs w:val="20"/>
          <w:color w:val="auto"/>
        </w:rPr>
      </w:pPr>
    </w:p>
    <w:p>
      <w:pPr>
        <w:spacing w:after="0" w:line="314" w:lineRule="auto"/>
        <w:rPr>
          <w:sz w:val="20"/>
          <w:szCs w:val="20"/>
          <w:color w:val="auto"/>
        </w:rPr>
      </w:pPr>
      <w:r>
        <w:rPr>
          <w:rFonts w:ascii="Arial" w:cs="Arial" w:eastAsia="Arial" w:hAnsi="Arial"/>
          <w:sz w:val="15"/>
          <w:szCs w:val="15"/>
          <w:color w:val="FFFFFF"/>
        </w:rPr>
        <w:t>Copies of Kirby’s Form 10-K (which is incorporated in this Annual Report) are available free of charge. Either contact Matt Kerin, VP – Investor Relations &amp; Treasurer, at Kirby’s corporate headquarters, e-mail investor.relations@kirbycorp.com, or visit Kirby’s website at www.kirbycorp.com.</w:t>
      </w:r>
    </w:p>
    <w:p>
      <w:pPr>
        <w:spacing w:after="0" w:line="760" w:lineRule="exact"/>
        <w:rPr>
          <w:sz w:val="20"/>
          <w:szCs w:val="20"/>
          <w:color w:val="auto"/>
        </w:rPr>
      </w:pPr>
    </w:p>
    <w:p>
      <w:pPr>
        <w:sectPr>
          <w:pgSz w:w="12240" w:h="15840" w:orient="portrait"/>
          <w:cols w:equalWidth="0" w:num="3">
            <w:col w:w="2920" w:space="660"/>
            <w:col w:w="3160" w:space="400"/>
            <w:col w:w="3060"/>
          </w:cols>
          <w:pgMar w:left="1100" w:top="769" w:right="940" w:bottom="1440" w:gutter="0" w:footer="0" w:header="0"/>
          <w:type w:val="continuous"/>
        </w:sectPr>
      </w:pPr>
    </w:p>
    <w:p>
      <w:pPr>
        <w:ind w:left="300" w:right="420"/>
        <w:spacing w:after="0" w:line="331" w:lineRule="auto"/>
        <w:rPr>
          <w:sz w:val="20"/>
          <w:szCs w:val="20"/>
          <w:color w:val="auto"/>
        </w:rPr>
      </w:pPr>
      <w:r>
        <w:rPr>
          <w:rFonts w:ascii="Arial" w:cs="Arial" w:eastAsia="Arial" w:hAnsi="Arial"/>
          <w:sz w:val="15"/>
          <w:szCs w:val="15"/>
          <w:color w:val="FFFFFF"/>
        </w:rPr>
        <w:t>C/O Computershare Investor Services P.O. Box 505008 Louisville, Kentucky 40233-9814</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Toll-Free Telephone: 877-373-6374</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Website: www.computershare.com</w:t>
      </w:r>
    </w:p>
    <w:p>
      <w:pPr>
        <w:spacing w:after="0" w:line="256" w:lineRule="exact"/>
        <w:rPr>
          <w:sz w:val="20"/>
          <w:szCs w:val="20"/>
          <w:color w:val="auto"/>
        </w:rPr>
      </w:pPr>
    </w:p>
    <w:p>
      <w:pPr>
        <w:ind w:left="20" w:right="40"/>
        <w:spacing w:after="0" w:line="275" w:lineRule="auto"/>
        <w:rPr>
          <w:sz w:val="20"/>
          <w:szCs w:val="20"/>
          <w:color w:val="auto"/>
        </w:rPr>
      </w:pPr>
      <w:r>
        <w:rPr>
          <w:rFonts w:ascii="Arial" w:cs="Arial" w:eastAsia="Arial" w:hAnsi="Arial"/>
          <w:sz w:val="17"/>
          <w:szCs w:val="17"/>
          <w:color w:val="FFFFFF"/>
        </w:rPr>
        <w:t>Beneficial stockholders (shares held in the name of banks or brokers) should address communications to their banks or stockbrokers.</w:t>
      </w:r>
    </w:p>
    <w:p>
      <w:pPr>
        <w:spacing w:after="0" w:line="204" w:lineRule="exact"/>
        <w:rPr>
          <w:sz w:val="20"/>
          <w:szCs w:val="20"/>
          <w:color w:val="auto"/>
        </w:rPr>
      </w:pPr>
    </w:p>
    <w:p>
      <w:pPr>
        <w:ind w:left="20" w:right="260"/>
        <w:spacing w:after="0" w:line="306" w:lineRule="auto"/>
        <w:rPr>
          <w:sz w:val="20"/>
          <w:szCs w:val="20"/>
          <w:color w:val="auto"/>
        </w:rPr>
      </w:pPr>
      <w:r>
        <w:rPr>
          <w:rFonts w:ascii="Arial" w:cs="Arial" w:eastAsia="Arial" w:hAnsi="Arial"/>
          <w:sz w:val="15"/>
          <w:szCs w:val="15"/>
          <w:color w:val="FFFFFF"/>
        </w:rPr>
        <w:t>All other inquiries should be addressed to Matt Kerin, VP - Investor Relations</w:t>
      </w:r>
    </w:p>
    <w:p>
      <w:pPr>
        <w:jc w:val="center"/>
        <w:ind w:left="20" w:right="600"/>
        <w:spacing w:after="0" w:line="331" w:lineRule="auto"/>
        <w:tabs>
          <w:tab w:leader="none" w:pos="157" w:val="left"/>
        </w:tabs>
        <w:numPr>
          <w:ilvl w:val="0"/>
          <w:numId w:val="38"/>
        </w:numPr>
        <w:rPr>
          <w:rFonts w:ascii="Arial" w:cs="Arial" w:eastAsia="Arial" w:hAnsi="Arial"/>
          <w:sz w:val="15"/>
          <w:szCs w:val="15"/>
          <w:color w:val="FFFFFF"/>
        </w:rPr>
      </w:pPr>
      <w:r>
        <w:rPr>
          <w:rFonts w:ascii="Arial" w:cs="Arial" w:eastAsia="Arial" w:hAnsi="Arial"/>
          <w:sz w:val="15"/>
          <w:szCs w:val="15"/>
          <w:color w:val="FFFFFF"/>
        </w:rPr>
        <w:t>Treasurer, at Kirby’s corporate headquarters, or sent by e-mail to investor.relations@kirbycorp.com.</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20"/>
                <w:szCs w:val="20"/>
                <w:color w:val="auto"/>
              </w:rPr>
            </w:pPr>
            <w:r>
              <w:rPr>
                <w:rFonts w:ascii="Arial" w:cs="Arial" w:eastAsia="Arial" w:hAnsi="Arial"/>
                <w:sz w:val="16"/>
                <w:szCs w:val="16"/>
                <w:color w:val="FFFFFF"/>
                <w:w w:val="92"/>
              </w:rPr>
              <w:t>The graph below compares Kirby Corporation’s</w:t>
            </w:r>
          </w:p>
        </w:tc>
        <w:tc>
          <w:tcPr>
            <w:tcW w:w="440" w:type="dxa"/>
            <w:vAlign w:val="bottom"/>
          </w:tcPr>
          <w:p>
            <w:pPr>
              <w:jc w:val="right"/>
              <w:spacing w:after="0"/>
              <w:rPr>
                <w:sz w:val="20"/>
                <w:szCs w:val="20"/>
                <w:color w:val="auto"/>
              </w:rPr>
            </w:pPr>
            <w:r>
              <w:rPr>
                <w:rFonts w:ascii="Arial" w:cs="Arial" w:eastAsia="Arial" w:hAnsi="Arial"/>
                <w:sz w:val="13"/>
                <w:szCs w:val="13"/>
                <w:color w:val="FFFFFF"/>
              </w:rPr>
              <w:t>$250</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FFFFFF"/>
                <w:w w:val="96"/>
              </w:rPr>
              <w:t>cumulative 5-Year total stockholder return on</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FFFFFF"/>
              </w:rPr>
              <w:t>$200</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FFFFFF"/>
                <w:w w:val="92"/>
              </w:rPr>
              <w:t>common stock with the cumulative total returns</w:t>
            </w:r>
          </w:p>
        </w:tc>
        <w:tc>
          <w:tcPr>
            <w:tcW w:w="4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FFFFFF"/>
                <w:w w:val="95"/>
              </w:rPr>
              <w:t>of the Russell 2000 index and the Dow Jones</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FFFFFF"/>
              </w:rPr>
              <w:t>$150</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3100" w:type="dxa"/>
            <w:vAlign w:val="bottom"/>
            <w:vMerge w:val="restart"/>
          </w:tcPr>
          <w:p>
            <w:pPr>
              <w:spacing w:after="0"/>
              <w:rPr>
                <w:sz w:val="20"/>
                <w:szCs w:val="20"/>
                <w:color w:val="auto"/>
              </w:rPr>
            </w:pPr>
            <w:r>
              <w:rPr>
                <w:rFonts w:ascii="Arial" w:cs="Arial" w:eastAsia="Arial" w:hAnsi="Arial"/>
                <w:sz w:val="16"/>
                <w:szCs w:val="16"/>
                <w:color w:val="FFFFFF"/>
                <w:w w:val="96"/>
              </w:rPr>
              <w:t>US Transportation Average index. The graph</w:t>
            </w:r>
          </w:p>
        </w:tc>
        <w:tc>
          <w:tcPr>
            <w:tcW w:w="4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1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FFFFFF"/>
                <w:w w:val="97"/>
              </w:rPr>
              <w:t>tracks the performance of a $100 investment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FFFFFF"/>
              </w:rPr>
              <w:t>$100</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3100" w:type="dxa"/>
            <w:vAlign w:val="bottom"/>
            <w:vMerge w:val="restart"/>
          </w:tcPr>
          <w:p>
            <w:pPr>
              <w:spacing w:after="0"/>
              <w:rPr>
                <w:sz w:val="20"/>
                <w:szCs w:val="20"/>
                <w:color w:val="auto"/>
              </w:rPr>
            </w:pPr>
            <w:r>
              <w:rPr>
                <w:rFonts w:ascii="Arial" w:cs="Arial" w:eastAsia="Arial" w:hAnsi="Arial"/>
                <w:sz w:val="16"/>
                <w:szCs w:val="16"/>
                <w:color w:val="FFFFFF"/>
              </w:rPr>
              <w:t>in our common stock and in each index</w:t>
            </w:r>
          </w:p>
        </w:tc>
        <w:tc>
          <w:tcPr>
            <w:tcW w:w="4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6"/>
                <w:szCs w:val="16"/>
                <w:color w:val="FFFFFF"/>
              </w:rPr>
              <w:t>(with the reinvestment of all dividends)</w:t>
            </w:r>
          </w:p>
        </w:tc>
        <w:tc>
          <w:tcPr>
            <w:tcW w:w="440" w:type="dxa"/>
            <w:vAlign w:val="bottom"/>
          </w:tcPr>
          <w:p>
            <w:pPr>
              <w:jc w:val="right"/>
              <w:spacing w:after="0"/>
              <w:rPr>
                <w:sz w:val="20"/>
                <w:szCs w:val="20"/>
                <w:color w:val="auto"/>
              </w:rPr>
            </w:pPr>
            <w:r>
              <w:rPr>
                <w:rFonts w:ascii="Arial" w:cs="Arial" w:eastAsia="Arial" w:hAnsi="Arial"/>
                <w:sz w:val="13"/>
                <w:szCs w:val="13"/>
                <w:color w:val="FFFFFF"/>
              </w:rPr>
              <w:t>$50</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20"/>
                <w:szCs w:val="20"/>
                <w:color w:val="auto"/>
              </w:rPr>
            </w:pPr>
            <w:r>
              <w:rPr>
                <w:rFonts w:ascii="Arial" w:cs="Arial" w:eastAsia="Arial" w:hAnsi="Arial"/>
                <w:sz w:val="16"/>
                <w:szCs w:val="16"/>
                <w:color w:val="FFFFFF"/>
              </w:rPr>
              <w:t>from 12/31/2020 to 12/31/2025.</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00" w:type="dxa"/>
            <w:vAlign w:val="bottom"/>
            <w:vMerge w:val="restart"/>
          </w:tcPr>
          <w:p>
            <w:pPr>
              <w:spacing w:after="0"/>
              <w:rPr>
                <w:sz w:val="20"/>
                <w:szCs w:val="20"/>
                <w:color w:val="auto"/>
              </w:rPr>
            </w:pPr>
            <w:r>
              <w:rPr>
                <w:rFonts w:ascii="Arial" w:cs="Arial" w:eastAsia="Arial" w:hAnsi="Arial"/>
                <w:sz w:val="15"/>
                <w:szCs w:val="15"/>
                <w:i w:val="1"/>
                <w:iCs w:val="1"/>
                <w:color w:val="FFFFFF"/>
                <w:w w:val="81"/>
              </w:rPr>
              <w:t>The stock price performance included in this graph is not</w:t>
            </w:r>
          </w:p>
        </w:tc>
        <w:tc>
          <w:tcPr>
            <w:tcW w:w="440" w:type="dxa"/>
            <w:vAlign w:val="bottom"/>
          </w:tcPr>
          <w:p>
            <w:pPr>
              <w:jc w:val="right"/>
              <w:spacing w:after="0"/>
              <w:rPr>
                <w:sz w:val="20"/>
                <w:szCs w:val="20"/>
                <w:color w:val="auto"/>
              </w:rPr>
            </w:pPr>
            <w:r>
              <w:rPr>
                <w:rFonts w:ascii="Arial" w:cs="Arial" w:eastAsia="Arial" w:hAnsi="Arial"/>
                <w:sz w:val="13"/>
                <w:szCs w:val="13"/>
                <w:color w:val="FFFFFF"/>
              </w:rPr>
              <w:t>0</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1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line="166" w:lineRule="exact"/>
              <w:rPr>
                <w:sz w:val="20"/>
                <w:szCs w:val="20"/>
                <w:color w:val="auto"/>
              </w:rPr>
            </w:pPr>
            <w:r>
              <w:rPr>
                <w:rFonts w:ascii="Arial" w:cs="Arial" w:eastAsia="Arial" w:hAnsi="Arial"/>
                <w:sz w:val="15"/>
                <w:szCs w:val="15"/>
                <w:i w:val="1"/>
                <w:iCs w:val="1"/>
                <w:color w:val="FFFFFF"/>
                <w:w w:val="83"/>
              </w:rPr>
              <w:t>necessarily indicative of future stock price performance.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FFFFFF"/>
                <w:w w:val="75"/>
              </w:rPr>
              <w:t>12/20</w:t>
            </w:r>
          </w:p>
        </w:tc>
        <w:tc>
          <w:tcPr>
            <w:tcW w:w="460" w:type="dxa"/>
            <w:vAlign w:val="bottom"/>
          </w:tcPr>
          <w:p>
            <w:pPr>
              <w:jc w:val="center"/>
              <w:spacing w:after="0"/>
              <w:rPr>
                <w:sz w:val="20"/>
                <w:szCs w:val="20"/>
                <w:color w:val="auto"/>
              </w:rPr>
            </w:pPr>
            <w:r>
              <w:rPr>
                <w:rFonts w:ascii="Arial" w:cs="Arial" w:eastAsia="Arial" w:hAnsi="Arial"/>
                <w:sz w:val="17"/>
                <w:szCs w:val="17"/>
                <w:color w:val="FFFFFF"/>
                <w:w w:val="75"/>
              </w:rPr>
              <w:t>12/21</w:t>
            </w:r>
          </w:p>
        </w:tc>
        <w:tc>
          <w:tcPr>
            <w:tcW w:w="460" w:type="dxa"/>
            <w:vAlign w:val="bottom"/>
          </w:tcPr>
          <w:p>
            <w:pPr>
              <w:jc w:val="center"/>
              <w:spacing w:after="0"/>
              <w:rPr>
                <w:sz w:val="20"/>
                <w:szCs w:val="20"/>
                <w:color w:val="auto"/>
              </w:rPr>
            </w:pPr>
            <w:r>
              <w:rPr>
                <w:rFonts w:ascii="Arial" w:cs="Arial" w:eastAsia="Arial" w:hAnsi="Arial"/>
                <w:sz w:val="17"/>
                <w:szCs w:val="17"/>
                <w:color w:val="FFFFFF"/>
                <w:w w:val="75"/>
              </w:rPr>
              <w:t>12/22</w:t>
            </w:r>
          </w:p>
        </w:tc>
        <w:tc>
          <w:tcPr>
            <w:tcW w:w="480" w:type="dxa"/>
            <w:vAlign w:val="bottom"/>
          </w:tcPr>
          <w:p>
            <w:pPr>
              <w:jc w:val="center"/>
              <w:spacing w:after="0"/>
              <w:rPr>
                <w:sz w:val="20"/>
                <w:szCs w:val="20"/>
                <w:color w:val="auto"/>
              </w:rPr>
            </w:pPr>
            <w:r>
              <w:rPr>
                <w:rFonts w:ascii="Arial" w:cs="Arial" w:eastAsia="Arial" w:hAnsi="Arial"/>
                <w:sz w:val="17"/>
                <w:szCs w:val="17"/>
                <w:color w:val="FFFFFF"/>
                <w:w w:val="75"/>
              </w:rPr>
              <w:t>12/23</w:t>
            </w:r>
          </w:p>
        </w:tc>
        <w:tc>
          <w:tcPr>
            <w:tcW w:w="460" w:type="dxa"/>
            <w:vAlign w:val="bottom"/>
          </w:tcPr>
          <w:p>
            <w:pPr>
              <w:jc w:val="center"/>
              <w:spacing w:after="0"/>
              <w:rPr>
                <w:sz w:val="20"/>
                <w:szCs w:val="20"/>
                <w:color w:val="auto"/>
              </w:rPr>
            </w:pPr>
            <w:r>
              <w:rPr>
                <w:rFonts w:ascii="Arial" w:cs="Arial" w:eastAsia="Arial" w:hAnsi="Arial"/>
                <w:sz w:val="17"/>
                <w:szCs w:val="17"/>
                <w:color w:val="FFFFFF"/>
                <w:w w:val="75"/>
              </w:rPr>
              <w:t>12/24</w:t>
            </w:r>
          </w:p>
        </w:tc>
        <w:tc>
          <w:tcPr>
            <w:tcW w:w="420" w:type="dxa"/>
            <w:vAlign w:val="bottom"/>
          </w:tcPr>
          <w:p>
            <w:pPr>
              <w:jc w:val="center"/>
              <w:spacing w:after="0"/>
              <w:rPr>
                <w:sz w:val="20"/>
                <w:szCs w:val="20"/>
                <w:color w:val="auto"/>
              </w:rPr>
            </w:pPr>
            <w:r>
              <w:rPr>
                <w:rFonts w:ascii="Arial" w:cs="Arial" w:eastAsia="Arial" w:hAnsi="Arial"/>
                <w:sz w:val="17"/>
                <w:szCs w:val="17"/>
                <w:color w:val="FFFFFF"/>
                <w:w w:val="75"/>
              </w:rPr>
              <w:t>12/25</w:t>
            </w:r>
          </w:p>
        </w:tc>
        <w:tc>
          <w:tcPr>
            <w:tcW w:w="0" w:type="dxa"/>
            <w:vAlign w:val="bottom"/>
          </w:tcPr>
          <w:p>
            <w:pPr>
              <w:spacing w:after="0"/>
              <w:rPr>
                <w:sz w:val="1"/>
                <w:szCs w:val="1"/>
                <w:color w:val="auto"/>
              </w:rPr>
            </w:pPr>
          </w:p>
        </w:tc>
      </w:tr>
      <w:tr>
        <w:trPr>
          <w:trHeight w:val="308"/>
        </w:trPr>
        <w:tc>
          <w:tcPr>
            <w:tcW w:w="3100" w:type="dxa"/>
            <w:vAlign w:val="bottom"/>
          </w:tcPr>
          <w:p>
            <w:pPr>
              <w:ind w:left="1200"/>
              <w:spacing w:after="0"/>
              <w:rPr>
                <w:sz w:val="20"/>
                <w:szCs w:val="20"/>
                <w:color w:val="auto"/>
              </w:rPr>
            </w:pPr>
            <w:r>
              <w:rPr>
                <w:rFonts w:ascii="Arial" w:cs="Arial" w:eastAsia="Arial" w:hAnsi="Arial"/>
                <w:sz w:val="17"/>
                <w:szCs w:val="17"/>
                <w:color w:val="001E58"/>
              </w:rPr>
              <w:t>Kirby Corporation</w:t>
            </w:r>
          </w:p>
        </w:tc>
        <w:tc>
          <w:tcPr>
            <w:tcW w:w="4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001E58"/>
                <w:w w:val="73"/>
              </w:rPr>
              <w:t>100.00</w:t>
            </w:r>
          </w:p>
        </w:tc>
        <w:tc>
          <w:tcPr>
            <w:tcW w:w="460" w:type="dxa"/>
            <w:vAlign w:val="bottom"/>
          </w:tcPr>
          <w:p>
            <w:pPr>
              <w:jc w:val="center"/>
              <w:spacing w:after="0"/>
              <w:rPr>
                <w:sz w:val="20"/>
                <w:szCs w:val="20"/>
                <w:color w:val="auto"/>
              </w:rPr>
            </w:pPr>
            <w:r>
              <w:rPr>
                <w:rFonts w:ascii="Arial" w:cs="Arial" w:eastAsia="Arial" w:hAnsi="Arial"/>
                <w:sz w:val="17"/>
                <w:szCs w:val="17"/>
                <w:color w:val="001E58"/>
                <w:w w:val="73"/>
              </w:rPr>
              <w:t>114.64</w:t>
            </w:r>
          </w:p>
        </w:tc>
        <w:tc>
          <w:tcPr>
            <w:tcW w:w="460" w:type="dxa"/>
            <w:vAlign w:val="bottom"/>
          </w:tcPr>
          <w:p>
            <w:pPr>
              <w:jc w:val="center"/>
              <w:spacing w:after="0"/>
              <w:rPr>
                <w:sz w:val="20"/>
                <w:szCs w:val="20"/>
                <w:color w:val="auto"/>
              </w:rPr>
            </w:pPr>
            <w:r>
              <w:rPr>
                <w:rFonts w:ascii="Arial" w:cs="Arial" w:eastAsia="Arial" w:hAnsi="Arial"/>
                <w:sz w:val="17"/>
                <w:szCs w:val="17"/>
                <w:color w:val="001E58"/>
                <w:w w:val="73"/>
              </w:rPr>
              <w:t>124.16</w:t>
            </w:r>
          </w:p>
        </w:tc>
        <w:tc>
          <w:tcPr>
            <w:tcW w:w="480" w:type="dxa"/>
            <w:vAlign w:val="bottom"/>
          </w:tcPr>
          <w:p>
            <w:pPr>
              <w:jc w:val="center"/>
              <w:spacing w:after="0"/>
              <w:rPr>
                <w:sz w:val="20"/>
                <w:szCs w:val="20"/>
                <w:color w:val="auto"/>
              </w:rPr>
            </w:pPr>
            <w:r>
              <w:rPr>
                <w:rFonts w:ascii="Arial" w:cs="Arial" w:eastAsia="Arial" w:hAnsi="Arial"/>
                <w:sz w:val="17"/>
                <w:szCs w:val="17"/>
                <w:color w:val="001E58"/>
                <w:w w:val="73"/>
              </w:rPr>
              <w:t>151.42</w:t>
            </w:r>
          </w:p>
        </w:tc>
        <w:tc>
          <w:tcPr>
            <w:tcW w:w="460" w:type="dxa"/>
            <w:vAlign w:val="bottom"/>
          </w:tcPr>
          <w:p>
            <w:pPr>
              <w:jc w:val="center"/>
              <w:spacing w:after="0"/>
              <w:rPr>
                <w:sz w:val="20"/>
                <w:szCs w:val="20"/>
                <w:color w:val="auto"/>
              </w:rPr>
            </w:pPr>
            <w:r>
              <w:rPr>
                <w:rFonts w:ascii="Arial" w:cs="Arial" w:eastAsia="Arial" w:hAnsi="Arial"/>
                <w:sz w:val="17"/>
                <w:szCs w:val="17"/>
                <w:color w:val="001E58"/>
                <w:w w:val="73"/>
              </w:rPr>
              <w:t>204.13</w:t>
            </w:r>
          </w:p>
        </w:tc>
        <w:tc>
          <w:tcPr>
            <w:tcW w:w="420" w:type="dxa"/>
            <w:vAlign w:val="bottom"/>
          </w:tcPr>
          <w:p>
            <w:pPr>
              <w:jc w:val="center"/>
              <w:spacing w:after="0"/>
              <w:rPr>
                <w:sz w:val="20"/>
                <w:szCs w:val="20"/>
                <w:color w:val="auto"/>
              </w:rPr>
            </w:pPr>
            <w:r>
              <w:rPr>
                <w:rFonts w:ascii="Arial" w:cs="Arial" w:eastAsia="Arial" w:hAnsi="Arial"/>
                <w:sz w:val="17"/>
                <w:szCs w:val="17"/>
                <w:color w:val="001E58"/>
                <w:w w:val="73"/>
              </w:rPr>
              <w:t>212.58</w:t>
            </w:r>
          </w:p>
        </w:tc>
        <w:tc>
          <w:tcPr>
            <w:tcW w:w="0" w:type="dxa"/>
            <w:vAlign w:val="bottom"/>
          </w:tcPr>
          <w:p>
            <w:pPr>
              <w:spacing w:after="0"/>
              <w:rPr>
                <w:sz w:val="1"/>
                <w:szCs w:val="1"/>
                <w:color w:val="auto"/>
              </w:rPr>
            </w:pPr>
          </w:p>
        </w:tc>
      </w:tr>
      <w:tr>
        <w:trPr>
          <w:trHeight w:val="314"/>
        </w:trPr>
        <w:tc>
          <w:tcPr>
            <w:tcW w:w="3100" w:type="dxa"/>
            <w:vAlign w:val="bottom"/>
          </w:tcPr>
          <w:p>
            <w:pPr>
              <w:ind w:left="1200"/>
              <w:spacing w:after="0"/>
              <w:rPr>
                <w:sz w:val="20"/>
                <w:szCs w:val="20"/>
                <w:color w:val="auto"/>
              </w:rPr>
            </w:pPr>
            <w:r>
              <w:rPr>
                <w:rFonts w:ascii="Arial" w:cs="Arial" w:eastAsia="Arial" w:hAnsi="Arial"/>
                <w:sz w:val="17"/>
                <w:szCs w:val="17"/>
                <w:color w:val="00712E"/>
              </w:rPr>
              <w:t>Russell 2000</w:t>
            </w:r>
          </w:p>
        </w:tc>
        <w:tc>
          <w:tcPr>
            <w:tcW w:w="4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00712E"/>
                <w:w w:val="73"/>
              </w:rPr>
              <w:t>100.00</w:t>
            </w:r>
          </w:p>
        </w:tc>
        <w:tc>
          <w:tcPr>
            <w:tcW w:w="460" w:type="dxa"/>
            <w:vAlign w:val="bottom"/>
          </w:tcPr>
          <w:p>
            <w:pPr>
              <w:jc w:val="center"/>
              <w:spacing w:after="0"/>
              <w:rPr>
                <w:sz w:val="20"/>
                <w:szCs w:val="20"/>
                <w:color w:val="auto"/>
              </w:rPr>
            </w:pPr>
            <w:r>
              <w:rPr>
                <w:rFonts w:ascii="Arial" w:cs="Arial" w:eastAsia="Arial" w:hAnsi="Arial"/>
                <w:sz w:val="17"/>
                <w:szCs w:val="17"/>
                <w:color w:val="00712E"/>
                <w:w w:val="73"/>
              </w:rPr>
              <w:t>114.82</w:t>
            </w:r>
          </w:p>
        </w:tc>
        <w:tc>
          <w:tcPr>
            <w:tcW w:w="460" w:type="dxa"/>
            <w:vAlign w:val="bottom"/>
          </w:tcPr>
          <w:p>
            <w:pPr>
              <w:jc w:val="center"/>
              <w:spacing w:after="0"/>
              <w:rPr>
                <w:sz w:val="20"/>
                <w:szCs w:val="20"/>
                <w:color w:val="auto"/>
              </w:rPr>
            </w:pPr>
            <w:r>
              <w:rPr>
                <w:rFonts w:ascii="Arial" w:cs="Arial" w:eastAsia="Arial" w:hAnsi="Arial"/>
                <w:sz w:val="17"/>
                <w:szCs w:val="17"/>
                <w:color w:val="00712E"/>
                <w:w w:val="75"/>
              </w:rPr>
              <w:t>91.35</w:t>
            </w:r>
          </w:p>
        </w:tc>
        <w:tc>
          <w:tcPr>
            <w:tcW w:w="480" w:type="dxa"/>
            <w:vAlign w:val="bottom"/>
          </w:tcPr>
          <w:p>
            <w:pPr>
              <w:jc w:val="center"/>
              <w:spacing w:after="0"/>
              <w:rPr>
                <w:sz w:val="20"/>
                <w:szCs w:val="20"/>
                <w:color w:val="auto"/>
              </w:rPr>
            </w:pPr>
            <w:r>
              <w:rPr>
                <w:rFonts w:ascii="Arial" w:cs="Arial" w:eastAsia="Arial" w:hAnsi="Arial"/>
                <w:sz w:val="17"/>
                <w:szCs w:val="17"/>
                <w:color w:val="00712E"/>
                <w:w w:val="73"/>
              </w:rPr>
              <w:t>106.82</w:t>
            </w:r>
          </w:p>
        </w:tc>
        <w:tc>
          <w:tcPr>
            <w:tcW w:w="460" w:type="dxa"/>
            <w:vAlign w:val="bottom"/>
          </w:tcPr>
          <w:p>
            <w:pPr>
              <w:jc w:val="center"/>
              <w:spacing w:after="0"/>
              <w:rPr>
                <w:sz w:val="20"/>
                <w:szCs w:val="20"/>
                <w:color w:val="auto"/>
              </w:rPr>
            </w:pPr>
            <w:r>
              <w:rPr>
                <w:rFonts w:ascii="Arial" w:cs="Arial" w:eastAsia="Arial" w:hAnsi="Arial"/>
                <w:sz w:val="17"/>
                <w:szCs w:val="17"/>
                <w:color w:val="00712E"/>
                <w:w w:val="73"/>
              </w:rPr>
              <w:t>119.14</w:t>
            </w:r>
          </w:p>
        </w:tc>
        <w:tc>
          <w:tcPr>
            <w:tcW w:w="420" w:type="dxa"/>
            <w:vAlign w:val="bottom"/>
          </w:tcPr>
          <w:p>
            <w:pPr>
              <w:jc w:val="center"/>
              <w:spacing w:after="0"/>
              <w:rPr>
                <w:sz w:val="20"/>
                <w:szCs w:val="20"/>
                <w:color w:val="auto"/>
              </w:rPr>
            </w:pPr>
            <w:r>
              <w:rPr>
                <w:rFonts w:ascii="Arial" w:cs="Arial" w:eastAsia="Arial" w:hAnsi="Arial"/>
                <w:sz w:val="17"/>
                <w:szCs w:val="17"/>
                <w:color w:val="00712E"/>
                <w:w w:val="73"/>
              </w:rPr>
              <w:t>134.40</w:t>
            </w:r>
          </w:p>
        </w:tc>
        <w:tc>
          <w:tcPr>
            <w:tcW w:w="0" w:type="dxa"/>
            <w:vAlign w:val="bottom"/>
          </w:tcPr>
          <w:p>
            <w:pPr>
              <w:spacing w:after="0"/>
              <w:rPr>
                <w:sz w:val="1"/>
                <w:szCs w:val="1"/>
                <w:color w:val="auto"/>
              </w:rPr>
            </w:pPr>
          </w:p>
        </w:tc>
      </w:tr>
      <w:tr>
        <w:trPr>
          <w:trHeight w:val="314"/>
        </w:trPr>
        <w:tc>
          <w:tcPr>
            <w:tcW w:w="3540" w:type="dxa"/>
            <w:vAlign w:val="bottom"/>
            <w:gridSpan w:val="2"/>
          </w:tcPr>
          <w:p>
            <w:pPr>
              <w:ind w:left="1200"/>
              <w:spacing w:after="0"/>
              <w:rPr>
                <w:sz w:val="20"/>
                <w:szCs w:val="20"/>
                <w:color w:val="auto"/>
              </w:rPr>
            </w:pPr>
            <w:r>
              <w:rPr>
                <w:rFonts w:ascii="Arial" w:cs="Arial" w:eastAsia="Arial" w:hAnsi="Arial"/>
                <w:sz w:val="17"/>
                <w:szCs w:val="17"/>
                <w:color w:val="FFFFFF"/>
                <w:w w:val="78"/>
              </w:rPr>
              <w:t>Dow Jones US Transportation Average</w:t>
            </w:r>
          </w:p>
        </w:tc>
        <w:tc>
          <w:tcPr>
            <w:tcW w:w="480" w:type="dxa"/>
            <w:vAlign w:val="bottom"/>
          </w:tcPr>
          <w:p>
            <w:pPr>
              <w:jc w:val="center"/>
              <w:spacing w:after="0"/>
              <w:rPr>
                <w:sz w:val="20"/>
                <w:szCs w:val="20"/>
                <w:color w:val="auto"/>
              </w:rPr>
            </w:pPr>
            <w:r>
              <w:rPr>
                <w:rFonts w:ascii="Arial" w:cs="Arial" w:eastAsia="Arial" w:hAnsi="Arial"/>
                <w:sz w:val="17"/>
                <w:szCs w:val="17"/>
                <w:color w:val="FFFFFF"/>
                <w:w w:val="73"/>
              </w:rPr>
              <w:t>100.00</w:t>
            </w:r>
          </w:p>
        </w:tc>
        <w:tc>
          <w:tcPr>
            <w:tcW w:w="460" w:type="dxa"/>
            <w:vAlign w:val="bottom"/>
          </w:tcPr>
          <w:p>
            <w:pPr>
              <w:jc w:val="center"/>
              <w:spacing w:after="0"/>
              <w:rPr>
                <w:sz w:val="20"/>
                <w:szCs w:val="20"/>
                <w:color w:val="auto"/>
              </w:rPr>
            </w:pPr>
            <w:r>
              <w:rPr>
                <w:rFonts w:ascii="Arial" w:cs="Arial" w:eastAsia="Arial" w:hAnsi="Arial"/>
                <w:sz w:val="17"/>
                <w:szCs w:val="17"/>
                <w:color w:val="FFFFFF"/>
                <w:w w:val="73"/>
              </w:rPr>
              <w:t>133.21</w:t>
            </w:r>
          </w:p>
        </w:tc>
        <w:tc>
          <w:tcPr>
            <w:tcW w:w="460" w:type="dxa"/>
            <w:vAlign w:val="bottom"/>
          </w:tcPr>
          <w:p>
            <w:pPr>
              <w:jc w:val="center"/>
              <w:spacing w:after="0"/>
              <w:rPr>
                <w:sz w:val="20"/>
                <w:szCs w:val="20"/>
                <w:color w:val="auto"/>
              </w:rPr>
            </w:pPr>
            <w:r>
              <w:rPr>
                <w:rFonts w:ascii="Arial" w:cs="Arial" w:eastAsia="Arial" w:hAnsi="Arial"/>
                <w:sz w:val="17"/>
                <w:szCs w:val="17"/>
                <w:color w:val="FFFFFF"/>
                <w:w w:val="73"/>
              </w:rPr>
              <w:t>109.81</w:t>
            </w:r>
          </w:p>
        </w:tc>
        <w:tc>
          <w:tcPr>
            <w:tcW w:w="480" w:type="dxa"/>
            <w:vAlign w:val="bottom"/>
          </w:tcPr>
          <w:p>
            <w:pPr>
              <w:jc w:val="center"/>
              <w:spacing w:after="0"/>
              <w:rPr>
                <w:sz w:val="20"/>
                <w:szCs w:val="20"/>
                <w:color w:val="auto"/>
              </w:rPr>
            </w:pPr>
            <w:r>
              <w:rPr>
                <w:rFonts w:ascii="Arial" w:cs="Arial" w:eastAsia="Arial" w:hAnsi="Arial"/>
                <w:sz w:val="17"/>
                <w:szCs w:val="17"/>
                <w:color w:val="FFFFFF"/>
                <w:w w:val="73"/>
              </w:rPr>
              <w:t>132.43</w:t>
            </w:r>
          </w:p>
        </w:tc>
        <w:tc>
          <w:tcPr>
            <w:tcW w:w="460" w:type="dxa"/>
            <w:vAlign w:val="bottom"/>
          </w:tcPr>
          <w:p>
            <w:pPr>
              <w:jc w:val="center"/>
              <w:spacing w:after="0"/>
              <w:rPr>
                <w:sz w:val="20"/>
                <w:szCs w:val="20"/>
                <w:color w:val="auto"/>
              </w:rPr>
            </w:pPr>
            <w:r>
              <w:rPr>
                <w:rFonts w:ascii="Arial" w:cs="Arial" w:eastAsia="Arial" w:hAnsi="Arial"/>
                <w:sz w:val="17"/>
                <w:szCs w:val="17"/>
                <w:color w:val="FFFFFF"/>
                <w:w w:val="73"/>
              </w:rPr>
              <w:t>134.49</w:t>
            </w:r>
          </w:p>
        </w:tc>
        <w:tc>
          <w:tcPr>
            <w:tcW w:w="420" w:type="dxa"/>
            <w:vAlign w:val="bottom"/>
          </w:tcPr>
          <w:p>
            <w:pPr>
              <w:jc w:val="center"/>
              <w:spacing w:after="0"/>
              <w:rPr>
                <w:sz w:val="20"/>
                <w:szCs w:val="20"/>
                <w:color w:val="auto"/>
              </w:rPr>
            </w:pPr>
            <w:r>
              <w:rPr>
                <w:rFonts w:ascii="Arial" w:cs="Arial" w:eastAsia="Arial" w:hAnsi="Arial"/>
                <w:sz w:val="17"/>
                <w:szCs w:val="17"/>
                <w:color w:val="FFFFFF"/>
                <w:w w:val="73"/>
              </w:rPr>
              <w:t>149.32</w:t>
            </w:r>
          </w:p>
        </w:tc>
        <w:tc>
          <w:tcPr>
            <w:tcW w:w="0" w:type="dxa"/>
            <w:vAlign w:val="bottom"/>
          </w:tcPr>
          <w:p>
            <w:pPr>
              <w:spacing w:after="0"/>
              <w:rPr>
                <w:sz w:val="1"/>
                <w:szCs w:val="1"/>
                <w:color w:val="auto"/>
              </w:rPr>
            </w:pPr>
          </w:p>
        </w:tc>
      </w:tr>
    </w:tbl>
    <w:p>
      <w:pPr>
        <w:sectPr>
          <w:pgSz w:w="12240" w:h="15840" w:orient="portrait"/>
          <w:cols w:equalWidth="0" w:num="2">
            <w:col w:w="2940" w:space="720"/>
            <w:col w:w="6540"/>
          </w:cols>
          <w:pgMar w:left="1100" w:top="769" w:right="940" w:bottom="1440" w:gutter="0" w:footer="0" w:header="0"/>
          <w:type w:val="continuous"/>
        </w:sectPr>
      </w:pPr>
    </w:p>
    <w:bookmarkStart w:id="101" w:name="page102"/>
    <w:bookmarkEnd w:id="10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wp:posOffset>
            </wp:positionH>
            <wp:positionV relativeFrom="page">
              <wp:posOffset>57150</wp:posOffset>
            </wp:positionV>
            <wp:extent cx="7658100" cy="9944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62">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FFFFFF"/>
        </w:rPr>
        <w:t>Corporation Headquarters: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4"/>
          <w:szCs w:val="14"/>
          <w:color w:val="FFFFFF"/>
        </w:rPr>
        <w:t>55 Waugh Drive, Suite 1000</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FFFFFF"/>
        </w:rPr>
        <w:t>Houston, Texas 77007</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FFFFFF"/>
        </w:rPr>
        <w:t>Mailing Address: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4"/>
          <w:szCs w:val="14"/>
          <w:color w:val="FFFFFF"/>
        </w:rPr>
        <w:t>P.O. Box 1745</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FFFFFF"/>
        </w:rPr>
        <w:t>Houston, Texas 77251-1745</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4"/>
          <w:szCs w:val="14"/>
          <w:color w:val="FFFFFF"/>
        </w:rPr>
        <w:t>713-435-1000</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FFFFFF"/>
        </w:rPr>
        <w:t>Fax: 713-435-1010</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FFFFFF"/>
        </w:rPr>
        <w:t>www.kirbycorp.com</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bullet"/>
      <w:start w:val="1"/>
    </w:lvl>
  </w:abstractNum>
  <w:abstractNum w:abstractNumId="3">
    <w:nsid w:val="628C895D"/>
    <w:multiLevelType w:val="hybridMultilevel"/>
    <w:lvl w:ilvl="0">
      <w:lvlJc w:val="left"/>
      <w:lvlText w:val="2"/>
      <w:numFmt w:val="bullet"/>
      <w:start w:val="1"/>
    </w:lvl>
  </w:abstractNum>
  <w:abstractNum w:abstractNumId="4">
    <w:nsid w:val="333AB105"/>
    <w:multiLevelType w:val="hybridMultilevel"/>
    <w:lvl w:ilvl="0">
      <w:lvlJc w:val="left"/>
      <w:lvlText w:val="3"/>
      <w:numFmt w:val="bullet"/>
      <w:start w:val="1"/>
    </w:lvl>
  </w:abstractNum>
  <w:abstractNum w:abstractNumId="5">
    <w:nsid w:val="721DA317"/>
    <w:multiLevelType w:val="hybridMultilevel"/>
    <w:lvl w:ilvl="0">
      <w:lvlJc w:val="left"/>
      <w:lvlText w:val="4"/>
      <w:numFmt w:val="bullet"/>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bullet"/>
      <w:start w:val="1"/>
    </w:lvl>
  </w:abstractNum>
  <w:abstractNum w:abstractNumId="8">
    <w:nsid w:val="6763845E"/>
    <w:multiLevelType w:val="hybridMultilevel"/>
    <w:lvl w:ilvl="0">
      <w:lvlJc w:val="left"/>
      <w:lvlText w:val="2"/>
      <w:numFmt w:val="bullet"/>
      <w:start w:val="1"/>
    </w:lvl>
  </w:abstractNum>
  <w:abstractNum w:abstractNumId="9">
    <w:nsid w:val="75A2A8D4"/>
    <w:multiLevelType w:val="hybridMultilevel"/>
    <w:lvl w:ilvl="0">
      <w:lvlJc w:val="left"/>
      <w:lvlText w:val="3"/>
      <w:numFmt w:val="bullet"/>
      <w:start w:val="1"/>
    </w:lvl>
  </w:abstractNum>
  <w:abstractNum w:abstractNumId="10">
    <w:nsid w:val="8EDBDAB"/>
    <w:multiLevelType w:val="hybridMultilevel"/>
    <w:lvl w:ilvl="0">
      <w:lvlJc w:val="left"/>
      <w:lvlText w:val="շ"/>
      <w:numFmt w:val="bullet"/>
      <w:start w:val="1"/>
    </w:lvl>
  </w:abstractNum>
  <w:abstractNum w:abstractNumId="11">
    <w:nsid w:val="79838CB2"/>
    <w:multiLevelType w:val="hybridMultilevel"/>
    <w:lvl w:ilvl="0">
      <w:lvlJc w:val="left"/>
      <w:lvlText w:val="ն"/>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decimal"/>
      <w:start w:val="9"/>
    </w:lvl>
    <w:lvl w:ilvl="1">
      <w:lvlJc w:val="left"/>
      <w:lvlText w:val="*"/>
      <w:numFmt w:val="bullet"/>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decimal"/>
      <w:start w:val="1"/>
    </w:lvl>
    <w:lvl w:ilvl="1">
      <w:lvlJc w:val="left"/>
      <w:lvlText w:val="(%2)"/>
      <w:numFmt w:val="lowerLetter"/>
      <w:start w:val="1"/>
    </w:lvl>
  </w:abstractNum>
  <w:abstractNum w:abstractNumId="24">
    <w:nsid w:val="737B8DDC"/>
    <w:multiLevelType w:val="hybridMultilevel"/>
    <w:lvl w:ilvl="0">
      <w:lvlJc w:val="left"/>
      <w:lvlText w:val="(%1)"/>
      <w:numFmt w:val="decimal"/>
      <w:start w:val="14"/>
    </w:lvl>
    <w:lvl w:ilvl="1">
      <w:lvlJc w:val="left"/>
      <w:lvlText w:val="%2"/>
      <w:numFmt w:val="lowerLetter"/>
      <w:start w:val="1"/>
    </w:lvl>
  </w:abstractNum>
  <w:abstractNum w:abstractNumId="25">
    <w:nsid w:val="6CEAF087"/>
    <w:multiLevelType w:val="hybridMultilevel"/>
    <w:lvl w:ilvl="0">
      <w:lvlJc w:val="left"/>
      <w:lvlText w:val="%1"/>
      <w:numFmt w:val="decimal"/>
      <w:start w:val="97"/>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4"/>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4"/>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2026-03-14T00:09:22Z</dcterms:created>
  <dcterms:modified xsi:type="dcterms:W3CDTF">2026-03-14T00:09:22Z</dcterms:modified>
</cp:coreProperties>
</file>