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505255"/>
        </w:rPr>
        <w:drawing>
          <wp:anchor simplePos="0" relativeHeight="251657728" behindDoc="1" locked="0" layoutInCell="0" allowOverlap="1">
            <wp:simplePos x="0" y="0"/>
            <wp:positionH relativeFrom="page">
              <wp:posOffset>791210</wp:posOffset>
            </wp:positionH>
            <wp:positionV relativeFrom="page">
              <wp:posOffset>740410</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817880</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505255"/>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505255"/>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126365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0"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505255"/>
        </w:rPr>
        <w:t>SCHEDULE 14A</w:t>
      </w:r>
    </w:p>
    <w:p>
      <w:pPr>
        <w:spacing w:after="0" w:line="79" w:lineRule="exact"/>
        <w:rPr>
          <w:sz w:val="24"/>
          <w:szCs w:val="24"/>
          <w:color w:val="auto"/>
        </w:rPr>
      </w:pPr>
    </w:p>
    <w:p>
      <w:pPr>
        <w:jc w:val="center"/>
        <w:ind w:left="2040" w:right="1360"/>
        <w:spacing w:after="0" w:line="245" w:lineRule="auto"/>
        <w:rPr>
          <w:sz w:val="20"/>
          <w:szCs w:val="20"/>
          <w:color w:val="auto"/>
        </w:rPr>
      </w:pPr>
      <w:r>
        <w:rPr>
          <w:rFonts w:ascii="Arial" w:cs="Arial" w:eastAsia="Arial" w:hAnsi="Arial"/>
          <w:sz w:val="22"/>
          <w:szCs w:val="22"/>
          <w:b w:val="1"/>
          <w:bCs w:val="1"/>
          <w:color w:val="505255"/>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109220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14" w:lineRule="exact"/>
        <w:rPr>
          <w:sz w:val="24"/>
          <w:szCs w:val="24"/>
          <w:color w:val="auto"/>
        </w:rPr>
      </w:pPr>
    </w:p>
    <w:p>
      <w:pPr>
        <w:spacing w:after="0" w:line="207" w:lineRule="exact"/>
        <w:tabs>
          <w:tab w:leader="none" w:pos="2900" w:val="left"/>
        </w:tabs>
        <w:rPr>
          <w:sz w:val="20"/>
          <w:szCs w:val="20"/>
          <w:color w:val="auto"/>
        </w:rPr>
      </w:pPr>
      <w:r>
        <w:rPr>
          <w:rFonts w:ascii="Arial" w:cs="Arial" w:eastAsia="Arial" w:hAnsi="Arial"/>
          <w:sz w:val="18"/>
          <w:szCs w:val="18"/>
          <w:color w:val="505255"/>
        </w:rPr>
        <w:t xml:space="preserve">Filed by the Registrant </w:t>
      </w:r>
      <w:r>
        <w:rPr>
          <w:rFonts w:ascii="MS PGothic" w:cs="MS PGothic" w:eastAsia="MS PGothic" w:hAnsi="MS PGothic"/>
          <w:sz w:val="18"/>
          <w:szCs w:val="18"/>
          <w:color w:val="505255"/>
        </w:rPr>
        <w:t>☒</w:t>
      </w:r>
      <w:r>
        <w:rPr>
          <w:sz w:val="20"/>
          <w:szCs w:val="20"/>
          <w:color w:val="auto"/>
        </w:rPr>
        <w:tab/>
      </w:r>
      <w:r>
        <w:rPr>
          <w:rFonts w:ascii="Arial" w:cs="Arial" w:eastAsia="Arial" w:hAnsi="Arial"/>
          <w:sz w:val="17"/>
          <w:szCs w:val="17"/>
          <w:color w:val="505255"/>
        </w:rPr>
        <w:t xml:space="preserve">Filed by a Party other than the Registrant </w:t>
      </w:r>
      <w:r>
        <w:rPr>
          <w:rFonts w:ascii="MS PGothic" w:cs="MS PGothic" w:eastAsia="MS PGothic" w:hAnsi="MS PGothic"/>
          <w:sz w:val="17"/>
          <w:szCs w:val="17"/>
          <w:color w:val="505255"/>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505255"/>
        </w:rPr>
        <w:t>Check the appropriate box:</w:t>
      </w:r>
    </w:p>
    <w:p>
      <w:pPr>
        <w:spacing w:after="0" w:line="117" w:lineRule="exact"/>
        <w:rPr>
          <w:sz w:val="24"/>
          <w:szCs w:val="24"/>
          <w:color w:val="auto"/>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color w:val="505255"/>
        </w:rPr>
        <w:t>Preliminary Proxy Statement</w:t>
      </w:r>
    </w:p>
    <w:p>
      <w:pPr>
        <w:spacing w:after="0" w:line="130" w:lineRule="exact"/>
        <w:rPr>
          <w:rFonts w:ascii="MS PGothic" w:cs="MS PGothic" w:eastAsia="MS PGothic" w:hAnsi="MS PGothic"/>
          <w:sz w:val="18"/>
          <w:szCs w:val="18"/>
          <w:color w:val="505255"/>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b w:val="1"/>
          <w:bCs w:val="1"/>
          <w:color w:val="505255"/>
        </w:rPr>
        <w:t>Confidential, for Use of the Commission Only (as permitted by Rule 14a-6(e)(2))</w:t>
      </w:r>
    </w:p>
    <w:p>
      <w:pPr>
        <w:spacing w:after="0" w:line="103" w:lineRule="exact"/>
        <w:rPr>
          <w:rFonts w:ascii="MS PGothic" w:cs="MS PGothic" w:eastAsia="MS PGothic" w:hAnsi="MS PGothic"/>
          <w:sz w:val="18"/>
          <w:szCs w:val="18"/>
          <w:color w:val="505255"/>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color w:val="505255"/>
        </w:rPr>
        <w:t>Definitive Proxy Statement</w:t>
      </w:r>
    </w:p>
    <w:p>
      <w:pPr>
        <w:spacing w:after="0" w:line="104" w:lineRule="exact"/>
        <w:rPr>
          <w:sz w:val="24"/>
          <w:szCs w:val="24"/>
          <w:color w:val="auto"/>
        </w:rPr>
      </w:pPr>
    </w:p>
    <w:p>
      <w:pPr>
        <w:ind w:left="500" w:hanging="494"/>
        <w:spacing w:after="0"/>
        <w:tabs>
          <w:tab w:leader="none" w:pos="500" w:val="left"/>
        </w:tabs>
        <w:numPr>
          <w:ilvl w:val="0"/>
          <w:numId w:val="2"/>
        </w:numPr>
        <w:rPr>
          <w:rFonts w:ascii="MS PGothic" w:cs="MS PGothic" w:eastAsia="MS PGothic" w:hAnsi="MS PGothic"/>
          <w:sz w:val="18"/>
          <w:szCs w:val="18"/>
          <w:color w:val="505255"/>
        </w:rPr>
      </w:pPr>
      <w:r>
        <w:rPr>
          <w:rFonts w:ascii="Arial" w:cs="Arial" w:eastAsia="Arial" w:hAnsi="Arial"/>
          <w:sz w:val="18"/>
          <w:szCs w:val="18"/>
          <w:color w:val="505255"/>
        </w:rPr>
        <w:t>Definitive Additional Materials</w:t>
      </w:r>
    </w:p>
    <w:p>
      <w:pPr>
        <w:spacing w:after="0" w:line="104" w:lineRule="exact"/>
        <w:rPr>
          <w:sz w:val="24"/>
          <w:szCs w:val="24"/>
          <w:color w:val="auto"/>
        </w:rPr>
      </w:pPr>
    </w:p>
    <w:p>
      <w:pPr>
        <w:ind w:left="500" w:hanging="494"/>
        <w:spacing w:after="0"/>
        <w:tabs>
          <w:tab w:leader="none" w:pos="500" w:val="left"/>
        </w:tabs>
        <w:numPr>
          <w:ilvl w:val="0"/>
          <w:numId w:val="3"/>
        </w:numPr>
        <w:rPr>
          <w:rFonts w:ascii="MS PGothic" w:cs="MS PGothic" w:eastAsia="MS PGothic" w:hAnsi="MS PGothic"/>
          <w:sz w:val="18"/>
          <w:szCs w:val="18"/>
          <w:color w:val="505255"/>
        </w:rPr>
      </w:pPr>
      <w:r>
        <w:rPr>
          <w:rFonts w:ascii="Arial" w:cs="Arial" w:eastAsia="Arial" w:hAnsi="Arial"/>
          <w:sz w:val="18"/>
          <w:szCs w:val="18"/>
          <w:color w:val="505255"/>
        </w:rPr>
        <w:t>Soliciting Material Under §240.14a-12</w:t>
      </w:r>
    </w:p>
    <w:p>
      <w:pPr>
        <w:spacing w:after="0" w:line="89"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505255"/>
        </w:rPr>
        <w:t>Kirby Corporation</w:t>
      </w:r>
    </w:p>
    <w:p>
      <w:pPr>
        <w:spacing w:after="0" w:line="5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505255"/>
        </w:rPr>
        <w:t>(Name of Registrant as Specified in its Charter)</w:t>
      </w:r>
    </w:p>
    <w:p>
      <w:pPr>
        <w:spacing w:after="0" w:line="55"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505255"/>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505255"/>
        </w:rPr>
        <w:t>Payment of Filing Fee (Check all boxes that apply):</w:t>
      </w:r>
    </w:p>
    <w:p>
      <w:pPr>
        <w:spacing w:after="0" w:line="171" w:lineRule="exact"/>
        <w:rPr>
          <w:sz w:val="24"/>
          <w:szCs w:val="24"/>
          <w:color w:val="auto"/>
        </w:rPr>
      </w:pPr>
    </w:p>
    <w:p>
      <w:pPr>
        <w:ind w:left="500" w:hanging="494"/>
        <w:spacing w:after="0"/>
        <w:tabs>
          <w:tab w:leader="none" w:pos="500" w:val="left"/>
        </w:tabs>
        <w:numPr>
          <w:ilvl w:val="0"/>
          <w:numId w:val="4"/>
        </w:numPr>
        <w:rPr>
          <w:rFonts w:ascii="MS PGothic" w:cs="MS PGothic" w:eastAsia="MS PGothic" w:hAnsi="MS PGothic"/>
          <w:sz w:val="18"/>
          <w:szCs w:val="18"/>
          <w:color w:val="505255"/>
        </w:rPr>
      </w:pPr>
      <w:r>
        <w:rPr>
          <w:rFonts w:ascii="Arial" w:cs="Arial" w:eastAsia="Arial" w:hAnsi="Arial"/>
          <w:sz w:val="18"/>
          <w:szCs w:val="18"/>
          <w:color w:val="505255"/>
        </w:rPr>
        <w:t>No fee required</w:t>
      </w:r>
    </w:p>
    <w:p>
      <w:pPr>
        <w:spacing w:after="0" w:line="104" w:lineRule="exact"/>
        <w:rPr>
          <w:sz w:val="24"/>
          <w:szCs w:val="24"/>
          <w:color w:val="auto"/>
        </w:rPr>
      </w:pPr>
    </w:p>
    <w:p>
      <w:pPr>
        <w:ind w:left="500" w:hanging="494"/>
        <w:spacing w:after="0"/>
        <w:tabs>
          <w:tab w:leader="none" w:pos="500" w:val="left"/>
        </w:tabs>
        <w:numPr>
          <w:ilvl w:val="0"/>
          <w:numId w:val="5"/>
        </w:numPr>
        <w:rPr>
          <w:rFonts w:ascii="MS PGothic" w:cs="MS PGothic" w:eastAsia="MS PGothic" w:hAnsi="MS PGothic"/>
          <w:sz w:val="18"/>
          <w:szCs w:val="18"/>
          <w:color w:val="505255"/>
        </w:rPr>
      </w:pPr>
      <w:r>
        <w:rPr>
          <w:rFonts w:ascii="Arial" w:cs="Arial" w:eastAsia="Arial" w:hAnsi="Arial"/>
          <w:sz w:val="18"/>
          <w:szCs w:val="18"/>
          <w:color w:val="505255"/>
        </w:rPr>
        <w:t>Fee paid previously with preliminary materials</w:t>
      </w:r>
    </w:p>
    <w:p>
      <w:pPr>
        <w:spacing w:after="0" w:line="103" w:lineRule="exact"/>
        <w:rPr>
          <w:rFonts w:ascii="MS PGothic" w:cs="MS PGothic" w:eastAsia="MS PGothic" w:hAnsi="MS PGothic"/>
          <w:sz w:val="18"/>
          <w:szCs w:val="18"/>
          <w:color w:val="505255"/>
        </w:rPr>
      </w:pPr>
    </w:p>
    <w:p>
      <w:pPr>
        <w:ind w:left="500" w:hanging="494"/>
        <w:spacing w:after="0"/>
        <w:tabs>
          <w:tab w:leader="none" w:pos="500" w:val="left"/>
        </w:tabs>
        <w:numPr>
          <w:ilvl w:val="0"/>
          <w:numId w:val="5"/>
        </w:numPr>
        <w:rPr>
          <w:rFonts w:ascii="MS PGothic" w:cs="MS PGothic" w:eastAsia="MS PGothic" w:hAnsi="MS PGothic"/>
          <w:sz w:val="17"/>
          <w:szCs w:val="17"/>
          <w:color w:val="505255"/>
        </w:rPr>
      </w:pPr>
      <w:r>
        <w:rPr>
          <w:rFonts w:ascii="Arial" w:cs="Arial" w:eastAsia="Arial" w:hAnsi="Arial"/>
          <w:sz w:val="17"/>
          <w:szCs w:val="17"/>
          <w:color w:val="505255"/>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955040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5966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136525</wp:posOffset>
            </wp:positionV>
            <wp:extent cx="596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19"/>
          </w:cols>
          <w:pgMar w:left="1240" w:top="1419" w:right="1440" w:bottom="1440" w:gutter="0" w:footer="0" w:header="0"/>
        </w:sectPr>
      </w:pPr>
    </w:p>
    <w:bookmarkStart w:id="1" w:name="page2"/>
    <w:bookmarkEnd w:id="1"/>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646430</wp:posOffset>
            </wp:positionV>
            <wp:extent cx="59118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91185" cy="360045"/>
                    </a:xfrm>
                    <a:prstGeom prst="rect">
                      <a:avLst/>
                    </a:prstGeom>
                    <a:noFill/>
                  </pic:spPr>
                </pic:pic>
              </a:graphicData>
            </a:graphic>
          </wp:anchor>
        </w:drawing>
        <w:drawing>
          <wp:anchor simplePos="0" relativeHeight="251657728" behindDoc="1" locked="0" layoutInCell="0" allowOverlap="1">
            <wp:simplePos x="0" y="0"/>
            <wp:positionH relativeFrom="page">
              <wp:posOffset>4460240</wp:posOffset>
            </wp:positionH>
            <wp:positionV relativeFrom="page">
              <wp:posOffset>646430</wp:posOffset>
            </wp:positionV>
            <wp:extent cx="2263140" cy="7089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70891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auto"/>
        </w:rPr>
        <w:t>P.O. BOX 8016, CARY, NC 27512-9903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62"/>
          <w:szCs w:val="62"/>
          <w:b w:val="1"/>
          <w:bCs w:val="1"/>
          <w:color w:val="156936"/>
        </w:rPr>
        <w:t>Your vote</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62"/>
          <w:szCs w:val="62"/>
          <w:b w:val="1"/>
          <w:bCs w:val="1"/>
          <w:color w:val="15693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269176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1765" cy="163195"/>
                    </a:xfrm>
                    <a:prstGeom prst="rect">
                      <a:avLst/>
                    </a:prstGeom>
                    <a:noFill/>
                  </pic:spPr>
                </pic:pic>
              </a:graphicData>
            </a:graphic>
          </wp:anchor>
        </w:drawing>
      </w:r>
    </w:p>
    <w:p>
      <w:pPr>
        <w:sectPr>
          <w:pgSz w:w="11900" w:h="16838" w:orient="portrait"/>
          <w:cols w:equalWidth="0" w:num="1">
            <w:col w:w="9400"/>
          </w:cols>
          <w:pgMar w:left="1240" w:top="144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Kirby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56936"/>
        </w:rPr>
        <w:t>Annual Meeting of Stockholders</w:t>
      </w:r>
    </w:p>
    <w:p>
      <w:pPr>
        <w:spacing w:after="0" w:line="79" w:lineRule="exact"/>
        <w:rPr>
          <w:sz w:val="20"/>
          <w:szCs w:val="20"/>
          <w:color w:val="auto"/>
        </w:rPr>
      </w:pPr>
    </w:p>
    <w:p>
      <w:pPr>
        <w:ind w:right="2020"/>
        <w:spacing w:after="0" w:line="365" w:lineRule="auto"/>
        <w:rPr>
          <w:sz w:val="20"/>
          <w:szCs w:val="20"/>
          <w:color w:val="auto"/>
        </w:rPr>
      </w:pPr>
      <w:r>
        <w:rPr>
          <w:rFonts w:ascii="Arial" w:cs="Arial" w:eastAsia="Arial" w:hAnsi="Arial"/>
          <w:sz w:val="14"/>
          <w:szCs w:val="14"/>
          <w:color w:val="auto"/>
        </w:rPr>
        <w:t>Monday, April 27, 2026 10:00 AM, Central Daylight Time 55 Waugh Drive, Suite 1100 Houston, TX 77007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36258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58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For a convenient way to view proxy materials, including the Notice of the 2026 Annual Meeting, Proxy Statement and the Company's Annual Report, VOTE, and obtain directions to attend the meeting go to www.proxydocs.com/KEX.</w:t>
      </w:r>
    </w:p>
    <w:p>
      <w:pPr>
        <w:spacing w:after="0" w:line="166"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auto"/>
        </w:rPr>
        <w:t>To vote your proxy while visiting this site, you will need the 12 digit control number in the box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156936"/>
        </w:rPr>
        <w:t>Important Notice Regarding the Availability of Proxy Materials for the Stockholders Meeting to be held on April 27, 2026 For Stockholders of record as of March 2, 2026</w:t>
      </w:r>
    </w:p>
    <w:p>
      <w:pPr>
        <w:spacing w:after="0" w:line="6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To order paper materials, use one of the following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156936"/>
        </w:rPr>
        <w:t>Internet: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F4583"/>
        </w:rPr>
        <w:t>www.investorelections.com/KEX</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156936"/>
        </w:rPr>
        <w:t>Call: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F4583"/>
        </w:rPr>
        <w:t>1-866-648-8133</w:t>
      </w:r>
    </w:p>
    <w:p>
      <w:pPr>
        <w:spacing w:after="0" w:line="263" w:lineRule="exact"/>
        <w:rPr>
          <w:sz w:val="20"/>
          <w:szCs w:val="20"/>
          <w:color w:val="auto"/>
        </w:rPr>
      </w:pPr>
    </w:p>
    <w:p>
      <w:pPr>
        <w:sectPr>
          <w:pgSz w:w="11900" w:h="16838" w:orient="portrait"/>
          <w:cols w:equalWidth="0" w:num="2">
            <w:col w:w="5620" w:space="500"/>
            <w:col w:w="3280"/>
          </w:cols>
          <w:pgMar w:left="1240" w:top="1440" w:right="1259" w:bottom="1440" w:gutter="0" w:footer="0" w:header="0"/>
          <w:type w:val="continuous"/>
        </w:sectPr>
      </w:pPr>
    </w:p>
    <w:p>
      <w:pPr>
        <w:spacing w:after="0" w:line="256" w:lineRule="auto"/>
        <w:rPr>
          <w:sz w:val="20"/>
          <w:szCs w:val="20"/>
          <w:color w:val="auto"/>
        </w:rPr>
      </w:pPr>
      <w:r>
        <w:rPr>
          <w:rFonts w:ascii="Arial" w:cs="Arial" w:eastAsia="Arial" w:hAnsi="Arial"/>
          <w:sz w:val="14"/>
          <w:szCs w:val="14"/>
          <w:color w:val="auto"/>
        </w:rPr>
        <w:t>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56936"/>
        </w:rPr>
        <w:t>Email: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F4583"/>
        </w:rPr>
        <w:t>paper@investorelections.com</w:t>
      </w:r>
    </w:p>
    <w:p>
      <w:pPr>
        <w:spacing w:after="0" w:line="48" w:lineRule="exact"/>
        <w:rPr>
          <w:sz w:val="20"/>
          <w:szCs w:val="20"/>
          <w:color w:val="auto"/>
        </w:rPr>
      </w:pPr>
    </w:p>
    <w:p>
      <w:pPr>
        <w:sectPr>
          <w:pgSz w:w="11900" w:h="16838" w:orient="portrait"/>
          <w:cols w:equalWidth="0" w:num="2">
            <w:col w:w="5700" w:space="420"/>
            <w:col w:w="3280"/>
          </w:cols>
          <w:pgMar w:left="1240" w:top="1440" w:right="12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20"/>
                <w:szCs w:val="20"/>
                <w:color w:val="auto"/>
              </w:rPr>
            </w:pPr>
            <w:r>
              <w:rPr>
                <w:rFonts w:ascii="Arial" w:cs="Arial" w:eastAsia="Arial" w:hAnsi="Arial"/>
                <w:sz w:val="14"/>
                <w:szCs w:val="14"/>
                <w:color w:val="auto"/>
              </w:rPr>
              <w:t>Under United States Securities and Exchange Commission rules, proxy materials do not</w:t>
            </w:r>
          </w:p>
        </w:tc>
        <w:tc>
          <w:tcPr>
            <w:tcW w:w="3460" w:type="dxa"/>
            <w:vAlign w:val="bottom"/>
          </w:tcPr>
          <w:p>
            <w:pPr>
              <w:ind w:left="240"/>
              <w:spacing w:after="0"/>
              <w:rPr>
                <w:sz w:val="20"/>
                <w:szCs w:val="20"/>
                <w:color w:val="auto"/>
              </w:rPr>
            </w:pPr>
            <w:r>
              <w:rPr>
                <w:rFonts w:ascii="Arial" w:cs="Arial" w:eastAsia="Arial" w:hAnsi="Arial"/>
                <w:sz w:val="11"/>
                <w:szCs w:val="11"/>
                <w:color w:val="auto"/>
              </w:rPr>
              <w:t>* If requesting material by e-mail, please send a blank e-mail with</w:t>
            </w:r>
          </w:p>
        </w:tc>
        <w:tc>
          <w:tcPr>
            <w:tcW w:w="0" w:type="dxa"/>
            <w:vAlign w:val="bottom"/>
          </w:tcPr>
          <w:p>
            <w:pPr>
              <w:spacing w:after="0"/>
              <w:rPr>
                <w:sz w:val="1"/>
                <w:szCs w:val="1"/>
                <w:color w:val="auto"/>
              </w:rPr>
            </w:pPr>
          </w:p>
        </w:tc>
      </w:tr>
      <w:tr>
        <w:trPr>
          <w:trHeight w:val="144"/>
        </w:trPr>
        <w:tc>
          <w:tcPr>
            <w:tcW w:w="5880" w:type="dxa"/>
            <w:vAlign w:val="bottom"/>
          </w:tcPr>
          <w:p>
            <w:pPr>
              <w:spacing w:after="0" w:line="145" w:lineRule="exact"/>
              <w:rPr>
                <w:sz w:val="20"/>
                <w:szCs w:val="20"/>
                <w:color w:val="auto"/>
              </w:rPr>
            </w:pPr>
            <w:r>
              <w:rPr>
                <w:rFonts w:ascii="Arial" w:cs="Arial" w:eastAsia="Arial" w:hAnsi="Arial"/>
                <w:sz w:val="14"/>
                <w:szCs w:val="14"/>
                <w:color w:val="auto"/>
              </w:rPr>
              <w:t>have to be delivered in paper. Proxy materials can be distributed by making them</w:t>
            </w:r>
          </w:p>
        </w:tc>
        <w:tc>
          <w:tcPr>
            <w:tcW w:w="3460" w:type="dxa"/>
            <w:vAlign w:val="bottom"/>
          </w:tcPr>
          <w:p>
            <w:pPr>
              <w:ind w:left="240"/>
              <w:spacing w:after="0"/>
              <w:rPr>
                <w:sz w:val="20"/>
                <w:szCs w:val="20"/>
                <w:color w:val="auto"/>
              </w:rPr>
            </w:pPr>
            <w:r>
              <w:rPr>
                <w:rFonts w:ascii="Arial" w:cs="Arial" w:eastAsia="Arial" w:hAnsi="Arial"/>
                <w:sz w:val="11"/>
                <w:szCs w:val="11"/>
                <w:color w:val="auto"/>
              </w:rPr>
              <w:t>the 12 digit control number (located below) in the subject line. No</w:t>
            </w:r>
          </w:p>
        </w:tc>
        <w:tc>
          <w:tcPr>
            <w:tcW w:w="0" w:type="dxa"/>
            <w:vAlign w:val="bottom"/>
          </w:tcPr>
          <w:p>
            <w:pPr>
              <w:spacing w:after="0"/>
              <w:rPr>
                <w:sz w:val="1"/>
                <w:szCs w:val="1"/>
                <w:color w:val="auto"/>
              </w:rPr>
            </w:pPr>
          </w:p>
        </w:tc>
      </w:tr>
      <w:tr>
        <w:trPr>
          <w:trHeight w:val="108"/>
        </w:trPr>
        <w:tc>
          <w:tcPr>
            <w:tcW w:w="5880" w:type="dxa"/>
            <w:vAlign w:val="bottom"/>
            <w:vMerge w:val="restart"/>
          </w:tcPr>
          <w:p>
            <w:pPr>
              <w:spacing w:after="0"/>
              <w:rPr>
                <w:sz w:val="20"/>
                <w:szCs w:val="20"/>
                <w:color w:val="auto"/>
              </w:rPr>
            </w:pPr>
            <w:r>
              <w:rPr>
                <w:rFonts w:ascii="Arial" w:cs="Arial" w:eastAsia="Arial" w:hAnsi="Arial"/>
                <w:sz w:val="14"/>
                <w:szCs w:val="14"/>
                <w:color w:val="auto"/>
              </w:rPr>
              <w:t>available on the internet.</w:t>
            </w:r>
          </w:p>
        </w:tc>
        <w:tc>
          <w:tcPr>
            <w:tcW w:w="3460" w:type="dxa"/>
            <w:vAlign w:val="bottom"/>
          </w:tcPr>
          <w:p>
            <w:pPr>
              <w:ind w:left="240"/>
              <w:spacing w:after="0" w:line="109" w:lineRule="exact"/>
              <w:rPr>
                <w:sz w:val="20"/>
                <w:szCs w:val="20"/>
                <w:color w:val="auto"/>
              </w:rPr>
            </w:pPr>
            <w:r>
              <w:rPr>
                <w:rFonts w:ascii="Arial" w:cs="Arial" w:eastAsia="Arial" w:hAnsi="Arial"/>
                <w:sz w:val="11"/>
                <w:szCs w:val="11"/>
                <w:color w:val="auto"/>
              </w:rPr>
              <w:t>other requests, instructions OR other inquiries should be included</w:t>
            </w:r>
          </w:p>
        </w:tc>
        <w:tc>
          <w:tcPr>
            <w:tcW w:w="0" w:type="dxa"/>
            <w:vAlign w:val="bottom"/>
          </w:tcPr>
          <w:p>
            <w:pPr>
              <w:spacing w:after="0"/>
              <w:rPr>
                <w:sz w:val="1"/>
                <w:szCs w:val="1"/>
                <w:color w:val="auto"/>
              </w:rPr>
            </w:pPr>
          </w:p>
        </w:tc>
      </w:tr>
      <w:tr>
        <w:trPr>
          <w:trHeight w:val="100"/>
        </w:trPr>
        <w:tc>
          <w:tcPr>
            <w:tcW w:w="5880" w:type="dxa"/>
            <w:vAlign w:val="bottom"/>
            <w:vMerge w:val="continue"/>
          </w:tcPr>
          <w:p>
            <w:pPr>
              <w:spacing w:after="0"/>
              <w:rPr>
                <w:sz w:val="8"/>
                <w:szCs w:val="8"/>
                <w:color w:val="auto"/>
              </w:rPr>
            </w:pPr>
          </w:p>
        </w:tc>
        <w:tc>
          <w:tcPr>
            <w:tcW w:w="3460" w:type="dxa"/>
            <w:vAlign w:val="bottom"/>
            <w:vMerge w:val="restart"/>
          </w:tcPr>
          <w:p>
            <w:pPr>
              <w:ind w:left="240"/>
              <w:spacing w:after="0"/>
              <w:rPr>
                <w:sz w:val="20"/>
                <w:szCs w:val="20"/>
                <w:color w:val="auto"/>
              </w:rPr>
            </w:pPr>
            <w:r>
              <w:rPr>
                <w:rFonts w:ascii="Arial" w:cs="Arial" w:eastAsia="Arial" w:hAnsi="Arial"/>
                <w:sz w:val="11"/>
                <w:szCs w:val="11"/>
                <w:color w:val="auto"/>
              </w:rPr>
              <w:t>with your e-mail requesting material.</w:t>
            </w:r>
          </w:p>
        </w:tc>
        <w:tc>
          <w:tcPr>
            <w:tcW w:w="0" w:type="dxa"/>
            <w:vAlign w:val="bottom"/>
          </w:tcPr>
          <w:p>
            <w:pPr>
              <w:spacing w:after="0"/>
              <w:rPr>
                <w:sz w:val="1"/>
                <w:szCs w:val="1"/>
                <w:color w:val="auto"/>
              </w:rPr>
            </w:pPr>
          </w:p>
        </w:tc>
      </w:tr>
      <w:tr>
        <w:trPr>
          <w:trHeight w:val="42"/>
        </w:trPr>
        <w:tc>
          <w:tcPr>
            <w:tcW w:w="588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5880" w:type="dxa"/>
            <w:vAlign w:val="bottom"/>
          </w:tcPr>
          <w:p>
            <w:pPr>
              <w:spacing w:after="0"/>
              <w:rPr>
                <w:sz w:val="20"/>
                <w:szCs w:val="20"/>
                <w:color w:val="auto"/>
              </w:rPr>
            </w:pPr>
            <w:r>
              <w:rPr>
                <w:rFonts w:ascii="Arial" w:cs="Arial" w:eastAsia="Arial" w:hAnsi="Arial"/>
                <w:sz w:val="14"/>
                <w:szCs w:val="14"/>
                <w:color w:val="auto"/>
              </w:rPr>
              <w:t>If you want to receive a paper or e-mail copy of the proxy materials, you must request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4"/>
                <w:szCs w:val="14"/>
                <w:color w:val="auto"/>
              </w:rPr>
              <w:t>one. There is no charge to you for requesting a copy. In order to receive a paper</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20"/>
                <w:szCs w:val="20"/>
                <w:color w:val="auto"/>
              </w:rPr>
            </w:pPr>
            <w:r>
              <w:rPr>
                <w:rFonts w:ascii="Arial" w:cs="Arial" w:eastAsia="Arial" w:hAnsi="Arial"/>
                <w:sz w:val="14"/>
                <w:szCs w:val="14"/>
                <w:color w:val="auto"/>
              </w:rPr>
              <w:t>package in time for this year's meeting, you must make this request on or before April</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80" w:type="dxa"/>
            <w:vAlign w:val="bottom"/>
          </w:tcPr>
          <w:p>
            <w:pPr>
              <w:spacing w:after="0"/>
              <w:rPr>
                <w:sz w:val="20"/>
                <w:szCs w:val="20"/>
                <w:color w:val="auto"/>
              </w:rPr>
            </w:pPr>
            <w:r>
              <w:rPr>
                <w:rFonts w:ascii="Arial" w:cs="Arial" w:eastAsia="Arial" w:hAnsi="Arial"/>
                <w:sz w:val="14"/>
                <w:szCs w:val="14"/>
                <w:color w:val="auto"/>
              </w:rPr>
              <w:t>17, 2026.</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80" w:type="dxa"/>
            <w:vAlign w:val="bottom"/>
          </w:tcPr>
          <w:p>
            <w:pPr>
              <w:spacing w:after="0"/>
              <w:rPr>
                <w:sz w:val="17"/>
                <w:szCs w:val="17"/>
                <w:color w:val="auto"/>
              </w:rPr>
            </w:pPr>
          </w:p>
        </w:tc>
        <w:tc>
          <w:tcPr>
            <w:tcW w:w="3460" w:type="dxa"/>
            <w:vAlign w:val="bottom"/>
          </w:tcPr>
          <w:p>
            <w:pPr>
              <w:ind w:left="240"/>
              <w:spacing w:after="0"/>
              <w:rPr>
                <w:sz w:val="20"/>
                <w:szCs w:val="20"/>
                <w:color w:val="auto"/>
              </w:rPr>
            </w:pPr>
            <w:r>
              <w:rPr>
                <w:rFonts w:ascii="Arial" w:cs="Arial" w:eastAsia="Arial" w:hAnsi="Arial"/>
                <w:sz w:val="13"/>
                <w:szCs w:val="13"/>
                <w:color w:val="auto"/>
                <w:w w:val="96"/>
              </w:rPr>
              <w:t>Have the 12 digit control number located in the box above</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3460" w:type="dxa"/>
            <w:vAlign w:val="bottom"/>
          </w:tcPr>
          <w:p>
            <w:pPr>
              <w:ind w:left="240"/>
              <w:spacing w:after="0" w:line="135" w:lineRule="exact"/>
              <w:rPr>
                <w:sz w:val="20"/>
                <w:szCs w:val="20"/>
                <w:color w:val="auto"/>
              </w:rPr>
            </w:pPr>
            <w:r>
              <w:rPr>
                <w:rFonts w:ascii="Arial" w:cs="Arial" w:eastAsia="Arial" w:hAnsi="Arial"/>
                <w:sz w:val="13"/>
                <w:szCs w:val="13"/>
                <w:color w:val="auto"/>
              </w:rPr>
              <w:t>available when you access the website and follow the</w:t>
            </w: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3460" w:type="dxa"/>
            <w:vAlign w:val="bottom"/>
          </w:tcPr>
          <w:p>
            <w:pPr>
              <w:ind w:left="240"/>
              <w:spacing w:after="0"/>
              <w:rPr>
                <w:sz w:val="20"/>
                <w:szCs w:val="20"/>
                <w:color w:val="auto"/>
              </w:rPr>
            </w:pPr>
            <w:r>
              <w:rPr>
                <w:rFonts w:ascii="Arial" w:cs="Arial" w:eastAsia="Arial" w:hAnsi="Arial"/>
                <w:sz w:val="13"/>
                <w:szCs w:val="13"/>
                <w:color w:val="auto"/>
              </w:rPr>
              <w:t>instructions.</w:t>
            </w: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6"/>
          <w:szCs w:val="16"/>
          <w:b w:val="1"/>
          <w:bCs w:val="1"/>
          <w:color w:val="auto"/>
        </w:rPr>
        <w:t>SEE REVERSE SIDE FOR FULL AGENDA</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2026 BetaNXT, Inc. or its affiliates.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610870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440" w:right="125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166936"/>
        </w:rPr>
        <w:t>Kirby Corporation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59118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185" cy="3600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ind w:right="5380"/>
        <w:spacing w:after="0"/>
        <w:rPr>
          <w:sz w:val="20"/>
          <w:szCs w:val="20"/>
          <w:color w:val="auto"/>
        </w:rPr>
      </w:pPr>
      <w:r>
        <w:rPr>
          <w:rFonts w:ascii="Arial" w:cs="Arial" w:eastAsia="Arial" w:hAnsi="Arial"/>
          <w:sz w:val="15"/>
          <w:szCs w:val="15"/>
          <w:b w:val="1"/>
          <w:bCs w:val="1"/>
          <w:color w:val="auto"/>
        </w:rPr>
        <w:t>THE BOARD OF DIRECTORS RECOMMENDS A VOTE: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ON PROPOSALS 1, 2, 3,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643890</wp:posOffset>
            </wp:positionV>
            <wp:extent cx="59664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PROPOSAL</w:t>
      </w:r>
    </w:p>
    <w:p>
      <w:pPr>
        <w:spacing w:after="0" w:line="87" w:lineRule="exact"/>
        <w:rPr>
          <w:sz w:val="20"/>
          <w:szCs w:val="20"/>
          <w:color w:val="auto"/>
        </w:rPr>
      </w:pPr>
    </w:p>
    <w:p>
      <w:pPr>
        <w:ind w:left="380" w:right="6760" w:hanging="374"/>
        <w:spacing w:after="0" w:line="375"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Election of three Class I directors 1.01 Richard J. Alario</w:t>
      </w:r>
    </w:p>
    <w:p>
      <w:pPr>
        <w:ind w:left="380"/>
        <w:spacing w:after="0"/>
        <w:rPr>
          <w:rFonts w:ascii="Arial" w:cs="Arial" w:eastAsia="Arial" w:hAnsi="Arial"/>
          <w:sz w:val="15"/>
          <w:szCs w:val="15"/>
          <w:color w:val="auto"/>
        </w:rPr>
      </w:pPr>
      <w:r>
        <w:rPr>
          <w:rFonts w:ascii="Arial" w:cs="Arial" w:eastAsia="Arial" w:hAnsi="Arial"/>
          <w:sz w:val="15"/>
          <w:szCs w:val="15"/>
          <w:color w:val="auto"/>
        </w:rPr>
        <w:t>1.02 Tracy A. Embree</w:t>
      </w:r>
    </w:p>
    <w:p>
      <w:pPr>
        <w:spacing w:after="0" w:line="97"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1.03 David W. Grzebinski</w:t>
      </w:r>
    </w:p>
    <w:p>
      <w:pPr>
        <w:spacing w:after="0" w:line="313" w:lineRule="exact"/>
        <w:rPr>
          <w:rFonts w:ascii="Arial" w:cs="Arial" w:eastAsia="Arial" w:hAnsi="Arial"/>
          <w:sz w:val="15"/>
          <w:szCs w:val="15"/>
          <w:color w:val="auto"/>
        </w:rPr>
      </w:pPr>
    </w:p>
    <w:p>
      <w:pPr>
        <w:ind w:left="380" w:hanging="374"/>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Ratification of the Audit Committee's selection of KPMG LLP as Kirby's independent registered public accounting firm for 2026</w:t>
      </w:r>
    </w:p>
    <w:p>
      <w:pPr>
        <w:spacing w:after="0" w:line="151" w:lineRule="exact"/>
        <w:rPr>
          <w:rFonts w:ascii="Arial" w:cs="Arial" w:eastAsia="Arial" w:hAnsi="Arial"/>
          <w:sz w:val="15"/>
          <w:szCs w:val="15"/>
          <w:color w:val="auto"/>
        </w:rPr>
      </w:pPr>
    </w:p>
    <w:p>
      <w:pPr>
        <w:ind w:left="380" w:hanging="374"/>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Advisory vote on the approval of the compensation of Kirby's named executive officers</w:t>
      </w:r>
    </w:p>
    <w:p>
      <w:pPr>
        <w:spacing w:after="0" w:line="151" w:lineRule="exact"/>
        <w:rPr>
          <w:rFonts w:ascii="Arial" w:cs="Arial" w:eastAsia="Arial" w:hAnsi="Arial"/>
          <w:sz w:val="15"/>
          <w:szCs w:val="15"/>
          <w:color w:val="auto"/>
        </w:rPr>
      </w:pPr>
    </w:p>
    <w:p>
      <w:pPr>
        <w:ind w:left="380" w:hanging="374"/>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Approval of Amendment of the 2005 Stock and Incentive Plan</w:t>
      </w:r>
    </w:p>
    <w:p>
      <w:pPr>
        <w:spacing w:after="0" w:line="151" w:lineRule="exact"/>
        <w:rPr>
          <w:rFonts w:ascii="Arial" w:cs="Arial" w:eastAsia="Arial" w:hAnsi="Arial"/>
          <w:sz w:val="15"/>
          <w:szCs w:val="15"/>
          <w:color w:val="auto"/>
        </w:rPr>
      </w:pPr>
    </w:p>
    <w:p>
      <w:pPr>
        <w:ind w:left="380" w:hanging="374"/>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Approval of Amendment of the 2000 Nonemployee Director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746125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1187" w:right="12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2026-03-06T16:32:08Z</dcterms:created>
  <dcterms:modified xsi:type="dcterms:W3CDTF">2026-03-06T16:32:08Z</dcterms:modified>
</cp:coreProperties>
</file>